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b/>
          <w:sz w:val="28"/>
          <w:szCs w:val="28"/>
        </w:rPr>
        <w:t>附件4  承租人甄选综合评分表</w:t>
      </w:r>
    </w:p>
    <w:tbl>
      <w:tblPr>
        <w:tblStyle w:val="2"/>
        <w:tblW w:w="0" w:type="auto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2993"/>
        <w:gridCol w:w="53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37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6"/>
                <w:szCs w:val="36"/>
              </w:rPr>
              <w:t>承租人甄选综合评分表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序 号</w:t>
            </w:r>
          </w:p>
        </w:tc>
        <w:tc>
          <w:tcPr>
            <w:tcW w:w="2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评 审 项 目(100分）</w:t>
            </w:r>
          </w:p>
        </w:tc>
        <w:tc>
          <w:tcPr>
            <w:tcW w:w="5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评分标准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企业综合资信情况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（5分）</w:t>
            </w:r>
          </w:p>
        </w:tc>
        <w:tc>
          <w:tcPr>
            <w:tcW w:w="5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根据承租人企业性质、规模、资金及经济实力、市场履约信用情况、银行资信情况等；对比最优(5分），较好(3-4分），一般（1－2分），差（0分）。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平均租金水平                     （60分）</w:t>
            </w:r>
          </w:p>
        </w:tc>
        <w:tc>
          <w:tcPr>
            <w:tcW w:w="5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根据承租人租金报价及递增率，以租赁期内平均折算月度租金最高报价为基准，得60分；与最高报价相比较，每低1%扣1分，最低得分0分。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装修期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（5分）</w:t>
            </w:r>
          </w:p>
        </w:tc>
        <w:tc>
          <w:tcPr>
            <w:tcW w:w="5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根据承租人所需装修期进行比较，以最少装修期为基准，得5分；每多一个月扣2.5分，最低得分0分。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经营业态、品牌定位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（20分）</w:t>
            </w:r>
          </w:p>
        </w:tc>
        <w:tc>
          <w:tcPr>
            <w:tcW w:w="5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根据承租人经营业态及品牌与商场规划定位相符合情况、拟进驻经营品牌档次及影响力情况（可参考国内/广州地区市场分店数量及规模情况、市场受欢迎程度等）、对商场人流的贡献及效果情况等；对比最优（16-20分）,较好（11-15分）, 一般（6-10分）,较差（1-5分）。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店面形象设计效果及档次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 xml:space="preserve">（10分）          </w:t>
            </w:r>
          </w:p>
        </w:tc>
        <w:tc>
          <w:tcPr>
            <w:tcW w:w="5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根据拟进驻品牌的店面形象设计及与商场整体融合程度情况；对比最优（10分），较好（5-9分），一般（1－4分），差（0分）。</w:t>
            </w:r>
          </w:p>
        </w:tc>
      </w:tr>
    </w:tbl>
    <w:p>
      <w:r>
        <w:rPr>
          <w:rFonts w:ascii="仿宋" w:hAnsi="仿宋" w:eastAsia="仿宋"/>
          <w:szCs w:val="21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5YmVkMTgwZjc0ODlmYWM5ZDdhNjA3NGRiOWI3ZjcifQ=="/>
  </w:docVars>
  <w:rsids>
    <w:rsidRoot w:val="3B3E244A"/>
    <w:rsid w:val="3B3E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2023-01-03T10:22:00Z</dcterms:created>
  <dc:creator>traveler</dc:creator>
  <cp:lastModifiedBy>traveler</cp:lastModifiedBy>
  <dcterms:modified xsi:type="dcterms:W3CDTF">2023-01-03T10:22:26Z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349AEF308C3C467981721788917500C6</vt:lpwstr>
  </property>
</Properties>
</file>