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jc w:val="center"/>
        <w:rPr>
          <w:rFonts w:ascii="宋体" w:hAnsi="宋体"/>
          <w:b/>
          <w:bCs/>
          <w:sz w:val="42"/>
        </w:rPr>
      </w:pPr>
    </w:p>
    <w:p>
      <w:pPr>
        <w:spacing w:after="240" w:line="360" w:lineRule="auto"/>
        <w:jc w:val="center"/>
        <w:rPr>
          <w:rFonts w:ascii="宋体" w:hAnsi="宋体"/>
          <w:b/>
          <w:sz w:val="48"/>
          <w:szCs w:val="48"/>
        </w:rPr>
      </w:pPr>
      <w:r>
        <w:rPr>
          <w:rFonts w:hint="eastAsia" w:ascii="宋体" w:hAnsi="宋体"/>
          <w:b/>
          <w:sz w:val="48"/>
          <w:szCs w:val="48"/>
        </w:rPr>
        <w:t>新中轴线经营性项目2023年度监理项目</w:t>
      </w:r>
    </w:p>
    <w:p>
      <w:pPr>
        <w:spacing w:after="240" w:line="360" w:lineRule="auto"/>
        <w:jc w:val="center"/>
        <w:rPr>
          <w:rFonts w:ascii="宋体" w:hAnsi="宋体"/>
          <w:b/>
          <w:sz w:val="48"/>
          <w:szCs w:val="48"/>
        </w:rPr>
      </w:pPr>
    </w:p>
    <w:p>
      <w:pPr>
        <w:spacing w:after="240" w:line="360" w:lineRule="auto"/>
        <w:jc w:val="center"/>
        <w:rPr>
          <w:rFonts w:ascii="宋体" w:hAnsi="宋体"/>
          <w:b/>
          <w:sz w:val="48"/>
          <w:szCs w:val="48"/>
        </w:rPr>
      </w:pPr>
    </w:p>
    <w:p>
      <w:pPr>
        <w:spacing w:after="240" w:line="360" w:lineRule="auto"/>
        <w:jc w:val="center"/>
        <w:rPr>
          <w:rFonts w:ascii="宋体" w:hAnsi="宋体"/>
          <w:b/>
          <w:sz w:val="72"/>
          <w:szCs w:val="72"/>
        </w:rPr>
      </w:pPr>
      <w:r>
        <w:rPr>
          <w:rFonts w:hint="eastAsia" w:ascii="宋体" w:hAnsi="宋体"/>
          <w:b/>
          <w:sz w:val="72"/>
          <w:szCs w:val="72"/>
        </w:rPr>
        <w:t>招选文件</w:t>
      </w:r>
    </w:p>
    <w:p>
      <w:pPr>
        <w:spacing w:line="0" w:lineRule="atLeast"/>
        <w:jc w:val="center"/>
        <w:rPr>
          <w:rFonts w:ascii="宋体" w:hAnsi="宋体"/>
          <w:b/>
          <w:sz w:val="52"/>
        </w:rPr>
      </w:pPr>
    </w:p>
    <w:p>
      <w:pPr>
        <w:spacing w:line="0" w:lineRule="atLeast"/>
        <w:jc w:val="center"/>
        <w:rPr>
          <w:rFonts w:ascii="宋体" w:hAnsi="宋体"/>
          <w:b/>
          <w:sz w:val="44"/>
        </w:rPr>
      </w:pPr>
    </w:p>
    <w:p>
      <w:pPr>
        <w:spacing w:line="0" w:lineRule="atLeast"/>
        <w:jc w:val="center"/>
        <w:rPr>
          <w:rFonts w:ascii="宋体" w:hAnsi="宋体"/>
          <w:b/>
          <w:sz w:val="44"/>
        </w:rPr>
      </w:pPr>
    </w:p>
    <w:p>
      <w:pPr>
        <w:spacing w:line="0" w:lineRule="atLeast"/>
        <w:jc w:val="center"/>
        <w:rPr>
          <w:rFonts w:ascii="宋体" w:hAnsi="宋体"/>
          <w:b/>
          <w:sz w:val="44"/>
        </w:rPr>
      </w:pPr>
    </w:p>
    <w:p>
      <w:pPr>
        <w:spacing w:line="0" w:lineRule="atLeast"/>
        <w:jc w:val="center"/>
        <w:rPr>
          <w:rFonts w:ascii="宋体" w:hAnsi="宋体"/>
          <w:b/>
          <w:sz w:val="44"/>
        </w:rPr>
      </w:pPr>
    </w:p>
    <w:p>
      <w:pPr>
        <w:spacing w:line="0" w:lineRule="atLeast"/>
        <w:jc w:val="center"/>
        <w:rPr>
          <w:rFonts w:ascii="宋体" w:hAnsi="宋体"/>
          <w:b/>
          <w:sz w:val="44"/>
        </w:rPr>
      </w:pPr>
    </w:p>
    <w:p>
      <w:pPr>
        <w:spacing w:line="0" w:lineRule="atLeast"/>
        <w:jc w:val="center"/>
        <w:rPr>
          <w:rFonts w:ascii="宋体" w:hAnsi="宋体"/>
          <w:b/>
          <w:sz w:val="44"/>
        </w:rPr>
      </w:pPr>
    </w:p>
    <w:p>
      <w:pPr>
        <w:spacing w:line="360" w:lineRule="auto"/>
        <w:ind w:firstLine="960" w:firstLineChars="300"/>
        <w:rPr>
          <w:rFonts w:ascii="宋体" w:hAnsi="宋体"/>
          <w:sz w:val="32"/>
        </w:rPr>
      </w:pPr>
      <w:r>
        <w:rPr>
          <w:rFonts w:hint="eastAsia" w:ascii="宋体" w:hAnsi="宋体"/>
          <w:bCs/>
          <w:sz w:val="32"/>
        </w:rPr>
        <w:t>建设单位：</w:t>
      </w:r>
      <w:r>
        <w:rPr>
          <w:rFonts w:hint="eastAsia" w:ascii="宋体" w:hAnsi="宋体"/>
          <w:bCs/>
          <w:sz w:val="32"/>
          <w:u w:val="single"/>
        </w:rPr>
        <w:t>广州市城投资产经营管理有限公司珠江新城分公司</w:t>
      </w:r>
    </w:p>
    <w:p>
      <w:pPr>
        <w:spacing w:line="480" w:lineRule="auto"/>
        <w:ind w:firstLine="960" w:firstLineChars="300"/>
        <w:rPr>
          <w:rFonts w:ascii="宋体" w:hAnsi="宋体"/>
          <w:bCs/>
          <w:sz w:val="32"/>
        </w:rPr>
        <w:sectPr>
          <w:footerReference r:id="rId6" w:type="first"/>
          <w:headerReference r:id="rId3" w:type="default"/>
          <w:footerReference r:id="rId4" w:type="default"/>
          <w:footerReference r:id="rId5" w:type="even"/>
          <w:pgSz w:w="11906" w:h="16838"/>
          <w:pgMar w:top="1418" w:right="1134" w:bottom="1134" w:left="1134" w:header="851" w:footer="851" w:gutter="0"/>
          <w:cols w:space="720" w:num="1"/>
        </w:sectPr>
      </w:pPr>
      <w:r>
        <w:rPr>
          <w:rFonts w:hint="eastAsia" w:ascii="宋体" w:hAnsi="宋体"/>
          <w:bCs/>
          <w:sz w:val="32"/>
        </w:rPr>
        <w:t>日    期：</w:t>
      </w:r>
      <w:r>
        <w:rPr>
          <w:rFonts w:hint="eastAsia" w:ascii="宋体" w:hAnsi="宋体"/>
          <w:bCs/>
          <w:sz w:val="32"/>
          <w:u w:val="single"/>
        </w:rPr>
        <w:t>2023年</w:t>
      </w:r>
      <w:r>
        <w:rPr>
          <w:rFonts w:hint="eastAsia" w:ascii="宋体" w:hAnsi="宋体"/>
          <w:bCs/>
          <w:sz w:val="32"/>
          <w:u w:val="single"/>
          <w:lang w:val="en-US" w:eastAsia="zh-CN"/>
        </w:rPr>
        <w:t>4</w:t>
      </w:r>
      <w:r>
        <w:rPr>
          <w:rFonts w:hint="eastAsia" w:ascii="宋体" w:hAnsi="宋体"/>
          <w:bCs/>
          <w:sz w:val="32"/>
          <w:u w:val="single"/>
        </w:rPr>
        <w:t>月</w:t>
      </w:r>
    </w:p>
    <w:p>
      <w:pPr>
        <w:spacing w:line="480" w:lineRule="auto"/>
        <w:jc w:val="center"/>
        <w:rPr>
          <w:rFonts w:ascii="宋体" w:hAnsi="宋体"/>
          <w:b/>
          <w:bCs/>
          <w:sz w:val="48"/>
        </w:rPr>
      </w:pPr>
      <w:r>
        <w:rPr>
          <w:rFonts w:hint="eastAsia" w:ascii="宋体" w:hAnsi="宋体"/>
          <w:b/>
          <w:bCs/>
          <w:sz w:val="48"/>
        </w:rPr>
        <w:t>目    录</w:t>
      </w:r>
    </w:p>
    <w:p>
      <w:pPr>
        <w:pStyle w:val="28"/>
        <w:tabs>
          <w:tab w:val="right" w:leader="dot" w:pos="9628"/>
        </w:tabs>
        <w:rPr>
          <w:rFonts w:ascii="宋体" w:hAnsi="宋体"/>
          <w:snapToGrid/>
          <w:kern w:val="2"/>
          <w:sz w:val="21"/>
          <w:szCs w:val="22"/>
        </w:rPr>
      </w:pPr>
      <w:r>
        <w:rPr>
          <w:rFonts w:hint="eastAsia" w:ascii="宋体" w:hAnsi="宋体"/>
        </w:rPr>
        <w:fldChar w:fldCharType="begin"/>
      </w:r>
      <w:r>
        <w:rPr>
          <w:rFonts w:hint="eastAsia" w:ascii="宋体" w:hAnsi="宋体"/>
        </w:rPr>
        <w:instrText xml:space="preserve">TOC \o "1-3" \h  \u </w:instrText>
      </w:r>
      <w:r>
        <w:rPr>
          <w:rFonts w:hint="eastAsia" w:ascii="宋体" w:hAnsi="宋体"/>
        </w:rPr>
        <w:fldChar w:fldCharType="separate"/>
      </w:r>
      <w:r>
        <w:fldChar w:fldCharType="begin"/>
      </w:r>
      <w:r>
        <w:instrText xml:space="preserve"> HYPERLINK \l "_Toc499060867" </w:instrText>
      </w:r>
      <w:r>
        <w:fldChar w:fldCharType="separate"/>
      </w:r>
      <w:r>
        <w:rPr>
          <w:rStyle w:val="46"/>
          <w:rFonts w:hint="eastAsia" w:ascii="宋体" w:hAnsi="宋体"/>
          <w:color w:val="auto"/>
        </w:rPr>
        <w:t>投标须知前附表</w:t>
      </w:r>
      <w:r>
        <w:rPr>
          <w:rFonts w:hint="eastAsia" w:ascii="宋体" w:hAnsi="宋体"/>
        </w:rPr>
        <w:tab/>
      </w:r>
      <w:r>
        <w:rPr>
          <w:rFonts w:hint="eastAsia" w:ascii="宋体" w:hAnsi="宋体"/>
        </w:rPr>
        <w:fldChar w:fldCharType="begin"/>
      </w:r>
      <w:r>
        <w:rPr>
          <w:rFonts w:hint="eastAsia" w:ascii="宋体" w:hAnsi="宋体"/>
        </w:rPr>
        <w:instrText xml:space="preserve"> PAGEREF _Toc499060867 \h </w:instrText>
      </w:r>
      <w:r>
        <w:rPr>
          <w:rFonts w:hint="eastAsia" w:ascii="宋体" w:hAnsi="宋体"/>
        </w:rPr>
        <w:fldChar w:fldCharType="separate"/>
      </w:r>
      <w:r>
        <w:rPr>
          <w:rFonts w:ascii="宋体" w:hAnsi="宋体"/>
        </w:rPr>
        <w:t>3</w:t>
      </w:r>
      <w:r>
        <w:rPr>
          <w:rFonts w:hint="eastAsia" w:ascii="宋体" w:hAnsi="宋体"/>
        </w:rPr>
        <w:fldChar w:fldCharType="end"/>
      </w:r>
      <w:r>
        <w:rPr>
          <w:rFonts w:hint="eastAsia" w:ascii="宋体" w:hAnsi="宋体"/>
        </w:rPr>
        <w:fldChar w:fldCharType="end"/>
      </w:r>
    </w:p>
    <w:p>
      <w:pPr>
        <w:pStyle w:val="28"/>
        <w:tabs>
          <w:tab w:val="right" w:leader="dot" w:pos="9628"/>
        </w:tabs>
        <w:rPr>
          <w:rFonts w:ascii="宋体" w:hAnsi="宋体"/>
          <w:snapToGrid/>
          <w:kern w:val="2"/>
          <w:sz w:val="21"/>
          <w:szCs w:val="22"/>
        </w:rPr>
      </w:pPr>
      <w:r>
        <w:fldChar w:fldCharType="begin"/>
      </w:r>
      <w:r>
        <w:instrText xml:space="preserve"> HYPERLINK \l "_Toc499060868" </w:instrText>
      </w:r>
      <w:r>
        <w:fldChar w:fldCharType="separate"/>
      </w:r>
      <w:r>
        <w:rPr>
          <w:rStyle w:val="46"/>
          <w:rFonts w:hint="eastAsia" w:ascii="宋体" w:hAnsi="宋体"/>
          <w:color w:val="auto"/>
        </w:rPr>
        <w:t>第一章  投标须知</w:t>
      </w:r>
      <w:r>
        <w:rPr>
          <w:rFonts w:hint="eastAsia" w:ascii="宋体" w:hAnsi="宋体"/>
        </w:rPr>
        <w:tab/>
      </w:r>
      <w:r>
        <w:rPr>
          <w:rFonts w:hint="eastAsia" w:ascii="宋体" w:hAnsi="宋体"/>
        </w:rPr>
        <w:t>5</w:t>
      </w:r>
      <w:r>
        <w:rPr>
          <w:rFonts w:hint="eastAsia" w:ascii="宋体" w:hAnsi="宋体"/>
        </w:rPr>
        <w:fldChar w:fldCharType="end"/>
      </w:r>
    </w:p>
    <w:p>
      <w:pPr>
        <w:pStyle w:val="36"/>
        <w:tabs>
          <w:tab w:val="right" w:leader="dot" w:pos="9628"/>
        </w:tabs>
        <w:ind w:firstLine="240"/>
        <w:rPr>
          <w:rFonts w:ascii="宋体" w:hAnsi="宋体"/>
          <w:snapToGrid/>
          <w:kern w:val="2"/>
          <w:sz w:val="21"/>
          <w:szCs w:val="22"/>
        </w:rPr>
      </w:pPr>
      <w:r>
        <w:fldChar w:fldCharType="begin"/>
      </w:r>
      <w:r>
        <w:instrText xml:space="preserve"> HYPERLINK \l "_Toc499060869" </w:instrText>
      </w:r>
      <w:r>
        <w:fldChar w:fldCharType="separate"/>
      </w:r>
      <w:r>
        <w:rPr>
          <w:rStyle w:val="46"/>
          <w:rFonts w:hint="eastAsia" w:ascii="宋体" w:hAnsi="宋体"/>
          <w:color w:val="auto"/>
        </w:rPr>
        <w:t>（一）总则</w:t>
      </w:r>
      <w:r>
        <w:rPr>
          <w:rFonts w:hint="eastAsia" w:ascii="宋体" w:hAnsi="宋体"/>
        </w:rPr>
        <w:tab/>
      </w:r>
      <w:r>
        <w:rPr>
          <w:rFonts w:hint="eastAsia" w:ascii="宋体" w:hAnsi="宋体"/>
        </w:rPr>
        <w:t>5</w:t>
      </w:r>
      <w:r>
        <w:rPr>
          <w:rFonts w:hint="eastAsia" w:ascii="宋体" w:hAnsi="宋体"/>
        </w:rPr>
        <w:fldChar w:fldCharType="end"/>
      </w:r>
    </w:p>
    <w:p>
      <w:pPr>
        <w:pStyle w:val="36"/>
        <w:tabs>
          <w:tab w:val="right" w:leader="dot" w:pos="9628"/>
        </w:tabs>
        <w:ind w:firstLine="240"/>
        <w:rPr>
          <w:rFonts w:ascii="宋体" w:hAnsi="宋体"/>
          <w:snapToGrid/>
          <w:kern w:val="2"/>
          <w:sz w:val="21"/>
          <w:szCs w:val="22"/>
        </w:rPr>
      </w:pPr>
      <w:r>
        <w:fldChar w:fldCharType="begin"/>
      </w:r>
      <w:r>
        <w:instrText xml:space="preserve"> HYPERLINK \l "_Toc499060870" </w:instrText>
      </w:r>
      <w:r>
        <w:fldChar w:fldCharType="separate"/>
      </w:r>
      <w:r>
        <w:rPr>
          <w:rStyle w:val="46"/>
          <w:rFonts w:hint="eastAsia" w:ascii="宋体" w:hAnsi="宋体"/>
          <w:color w:val="auto"/>
        </w:rPr>
        <w:t>（二）招选文件</w:t>
      </w:r>
      <w:r>
        <w:rPr>
          <w:rFonts w:hint="eastAsia" w:ascii="宋体" w:hAnsi="宋体"/>
        </w:rPr>
        <w:tab/>
      </w:r>
      <w:r>
        <w:rPr>
          <w:rFonts w:hint="eastAsia" w:ascii="宋体" w:hAnsi="宋体"/>
        </w:rPr>
        <w:t>6</w:t>
      </w:r>
      <w:r>
        <w:rPr>
          <w:rFonts w:hint="eastAsia" w:ascii="宋体" w:hAnsi="宋体"/>
        </w:rPr>
        <w:fldChar w:fldCharType="end"/>
      </w:r>
    </w:p>
    <w:p>
      <w:pPr>
        <w:pStyle w:val="36"/>
        <w:tabs>
          <w:tab w:val="right" w:leader="dot" w:pos="9628"/>
        </w:tabs>
        <w:ind w:firstLine="240"/>
        <w:rPr>
          <w:rFonts w:ascii="宋体" w:hAnsi="宋体"/>
          <w:snapToGrid/>
          <w:kern w:val="2"/>
          <w:sz w:val="21"/>
          <w:szCs w:val="22"/>
        </w:rPr>
      </w:pPr>
      <w:r>
        <w:fldChar w:fldCharType="begin"/>
      </w:r>
      <w:r>
        <w:instrText xml:space="preserve"> HYPERLINK \l "_Toc499060871" </w:instrText>
      </w:r>
      <w:r>
        <w:fldChar w:fldCharType="separate"/>
      </w:r>
      <w:r>
        <w:rPr>
          <w:rStyle w:val="46"/>
          <w:rFonts w:hint="eastAsia" w:ascii="宋体" w:hAnsi="宋体"/>
          <w:color w:val="auto"/>
        </w:rPr>
        <w:t>（三）投标文件的编制</w:t>
      </w:r>
      <w:r>
        <w:rPr>
          <w:rFonts w:hint="eastAsia" w:ascii="宋体" w:hAnsi="宋体"/>
        </w:rPr>
        <w:tab/>
      </w:r>
      <w:r>
        <w:rPr>
          <w:rFonts w:hint="eastAsia" w:ascii="宋体" w:hAnsi="宋体"/>
        </w:rPr>
        <w:t>7</w:t>
      </w:r>
      <w:r>
        <w:rPr>
          <w:rFonts w:hint="eastAsia" w:ascii="宋体" w:hAnsi="宋体"/>
        </w:rPr>
        <w:fldChar w:fldCharType="end"/>
      </w:r>
    </w:p>
    <w:p>
      <w:pPr>
        <w:pStyle w:val="36"/>
        <w:tabs>
          <w:tab w:val="right" w:leader="dot" w:pos="9628"/>
        </w:tabs>
        <w:ind w:firstLine="240"/>
        <w:rPr>
          <w:rFonts w:ascii="宋体" w:hAnsi="宋体"/>
          <w:snapToGrid/>
          <w:kern w:val="2"/>
          <w:sz w:val="21"/>
          <w:szCs w:val="22"/>
        </w:rPr>
      </w:pPr>
      <w:r>
        <w:fldChar w:fldCharType="begin"/>
      </w:r>
      <w:r>
        <w:instrText xml:space="preserve"> HYPERLINK \l "_Toc499060872" </w:instrText>
      </w:r>
      <w:r>
        <w:fldChar w:fldCharType="separate"/>
      </w:r>
      <w:r>
        <w:rPr>
          <w:rStyle w:val="46"/>
          <w:rFonts w:hint="eastAsia" w:ascii="宋体" w:hAnsi="宋体"/>
          <w:color w:val="auto"/>
        </w:rPr>
        <w:t>（四）投标文件的提交</w:t>
      </w:r>
      <w:r>
        <w:rPr>
          <w:rFonts w:hint="eastAsia" w:ascii="宋体" w:hAnsi="宋体"/>
        </w:rPr>
        <w:tab/>
      </w:r>
      <w:r>
        <w:rPr>
          <w:rFonts w:hint="eastAsia" w:ascii="宋体" w:hAnsi="宋体"/>
        </w:rPr>
        <w:t>1</w:t>
      </w:r>
      <w:r>
        <w:rPr>
          <w:rFonts w:hint="eastAsia" w:ascii="宋体" w:hAnsi="宋体"/>
        </w:rPr>
        <w:fldChar w:fldCharType="end"/>
      </w:r>
      <w:r>
        <w:rPr>
          <w:rFonts w:hint="eastAsia" w:ascii="宋体" w:hAnsi="宋体"/>
        </w:rPr>
        <w:t>0</w:t>
      </w:r>
    </w:p>
    <w:p>
      <w:pPr>
        <w:pStyle w:val="36"/>
        <w:tabs>
          <w:tab w:val="right" w:leader="dot" w:pos="9628"/>
        </w:tabs>
        <w:ind w:firstLine="240"/>
        <w:rPr>
          <w:rFonts w:ascii="宋体" w:hAnsi="宋体"/>
          <w:snapToGrid/>
          <w:kern w:val="2"/>
          <w:sz w:val="21"/>
          <w:szCs w:val="22"/>
        </w:rPr>
      </w:pPr>
      <w:r>
        <w:fldChar w:fldCharType="begin"/>
      </w:r>
      <w:r>
        <w:instrText xml:space="preserve"> HYPERLINK \l "_Toc499060873" </w:instrText>
      </w:r>
      <w:r>
        <w:fldChar w:fldCharType="separate"/>
      </w:r>
      <w:r>
        <w:rPr>
          <w:rStyle w:val="46"/>
          <w:rFonts w:hint="eastAsia" w:ascii="宋体" w:hAnsi="宋体"/>
          <w:color w:val="auto"/>
        </w:rPr>
        <w:t>（五）开标</w:t>
      </w:r>
      <w:r>
        <w:rPr>
          <w:rFonts w:hint="eastAsia" w:ascii="宋体" w:hAnsi="宋体"/>
        </w:rPr>
        <w:tab/>
      </w:r>
      <w:r>
        <w:rPr>
          <w:rFonts w:hint="eastAsia" w:ascii="宋体" w:hAnsi="宋体"/>
        </w:rPr>
        <w:fldChar w:fldCharType="begin"/>
      </w:r>
      <w:r>
        <w:rPr>
          <w:rFonts w:hint="eastAsia" w:ascii="宋体" w:hAnsi="宋体"/>
        </w:rPr>
        <w:instrText xml:space="preserve"> PAGEREF _Toc499060873 \h </w:instrText>
      </w:r>
      <w:r>
        <w:rPr>
          <w:rFonts w:hint="eastAsia" w:ascii="宋体" w:hAnsi="宋体"/>
        </w:rPr>
        <w:fldChar w:fldCharType="separate"/>
      </w:r>
      <w:r>
        <w:rPr>
          <w:rFonts w:ascii="宋体" w:hAnsi="宋体"/>
        </w:rPr>
        <w:t>1</w:t>
      </w:r>
      <w:r>
        <w:rPr>
          <w:rFonts w:hint="eastAsia" w:ascii="宋体" w:hAnsi="宋体"/>
        </w:rPr>
        <w:t>2</w:t>
      </w:r>
      <w:r>
        <w:rPr>
          <w:rFonts w:hint="eastAsia" w:ascii="宋体" w:hAnsi="宋体"/>
        </w:rPr>
        <w:fldChar w:fldCharType="end"/>
      </w:r>
      <w:r>
        <w:rPr>
          <w:rFonts w:hint="eastAsia" w:ascii="宋体" w:hAnsi="宋体"/>
        </w:rPr>
        <w:fldChar w:fldCharType="end"/>
      </w:r>
    </w:p>
    <w:p>
      <w:pPr>
        <w:pStyle w:val="36"/>
        <w:tabs>
          <w:tab w:val="right" w:leader="dot" w:pos="9628"/>
        </w:tabs>
        <w:ind w:firstLine="240"/>
        <w:rPr>
          <w:rFonts w:ascii="宋体" w:hAnsi="宋体"/>
          <w:snapToGrid/>
          <w:kern w:val="2"/>
          <w:sz w:val="21"/>
          <w:szCs w:val="22"/>
        </w:rPr>
      </w:pPr>
      <w:r>
        <w:fldChar w:fldCharType="begin"/>
      </w:r>
      <w:r>
        <w:instrText xml:space="preserve"> HYPERLINK \l "_Toc499060874" </w:instrText>
      </w:r>
      <w:r>
        <w:fldChar w:fldCharType="separate"/>
      </w:r>
      <w:r>
        <w:rPr>
          <w:rStyle w:val="46"/>
          <w:rFonts w:hint="eastAsia" w:ascii="宋体" w:hAnsi="宋体"/>
          <w:color w:val="auto"/>
        </w:rPr>
        <w:t>（六）评选</w:t>
      </w:r>
      <w:r>
        <w:rPr>
          <w:rFonts w:hint="eastAsia" w:ascii="宋体" w:hAnsi="宋体"/>
        </w:rPr>
        <w:tab/>
      </w:r>
      <w:r>
        <w:rPr>
          <w:rFonts w:hint="eastAsia" w:ascii="宋体" w:hAnsi="宋体"/>
        </w:rPr>
        <w:fldChar w:fldCharType="begin"/>
      </w:r>
      <w:r>
        <w:rPr>
          <w:rFonts w:hint="eastAsia" w:ascii="宋体" w:hAnsi="宋体"/>
        </w:rPr>
        <w:instrText xml:space="preserve"> PAGEREF _Toc499060874 \h </w:instrText>
      </w:r>
      <w:r>
        <w:rPr>
          <w:rFonts w:hint="eastAsia" w:ascii="宋体" w:hAnsi="宋体"/>
        </w:rPr>
        <w:fldChar w:fldCharType="separate"/>
      </w:r>
      <w:r>
        <w:rPr>
          <w:rFonts w:ascii="宋体" w:hAnsi="宋体"/>
        </w:rPr>
        <w:t>1</w:t>
      </w:r>
      <w:r>
        <w:rPr>
          <w:rFonts w:hint="eastAsia" w:ascii="宋体" w:hAnsi="宋体"/>
        </w:rPr>
        <w:t>2</w:t>
      </w:r>
      <w:r>
        <w:rPr>
          <w:rFonts w:hint="eastAsia" w:ascii="宋体" w:hAnsi="宋体"/>
        </w:rPr>
        <w:fldChar w:fldCharType="end"/>
      </w:r>
      <w:r>
        <w:rPr>
          <w:rFonts w:hint="eastAsia" w:ascii="宋体" w:hAnsi="宋体"/>
        </w:rPr>
        <w:fldChar w:fldCharType="end"/>
      </w:r>
    </w:p>
    <w:p>
      <w:pPr>
        <w:pStyle w:val="36"/>
        <w:tabs>
          <w:tab w:val="right" w:leader="dot" w:pos="9628"/>
        </w:tabs>
        <w:ind w:firstLine="240"/>
        <w:rPr>
          <w:rFonts w:ascii="宋体" w:hAnsi="宋体"/>
          <w:snapToGrid/>
          <w:kern w:val="2"/>
          <w:sz w:val="21"/>
          <w:szCs w:val="22"/>
        </w:rPr>
      </w:pPr>
      <w:r>
        <w:fldChar w:fldCharType="begin"/>
      </w:r>
      <w:r>
        <w:instrText xml:space="preserve"> HYPERLINK \l "_Toc499060875" </w:instrText>
      </w:r>
      <w:r>
        <w:fldChar w:fldCharType="separate"/>
      </w:r>
      <w:r>
        <w:rPr>
          <w:rStyle w:val="46"/>
          <w:rFonts w:hint="eastAsia" w:ascii="宋体" w:hAnsi="宋体"/>
          <w:color w:val="auto"/>
        </w:rPr>
        <w:t>（七）合同的授予</w:t>
      </w:r>
      <w:r>
        <w:rPr>
          <w:rFonts w:hint="eastAsia" w:ascii="宋体" w:hAnsi="宋体"/>
        </w:rPr>
        <w:tab/>
      </w:r>
      <w:r>
        <w:rPr>
          <w:rFonts w:hint="eastAsia" w:ascii="宋体" w:hAnsi="宋体"/>
        </w:rPr>
        <w:fldChar w:fldCharType="begin"/>
      </w:r>
      <w:r>
        <w:rPr>
          <w:rFonts w:hint="eastAsia" w:ascii="宋体" w:hAnsi="宋体"/>
        </w:rPr>
        <w:instrText xml:space="preserve"> PAGEREF _Toc499060875 \h </w:instrText>
      </w:r>
      <w:r>
        <w:rPr>
          <w:rFonts w:hint="eastAsia" w:ascii="宋体" w:hAnsi="宋体"/>
        </w:rPr>
        <w:fldChar w:fldCharType="separate"/>
      </w:r>
      <w:r>
        <w:rPr>
          <w:rFonts w:ascii="宋体" w:hAnsi="宋体"/>
        </w:rPr>
        <w:t>1</w:t>
      </w:r>
      <w:r>
        <w:rPr>
          <w:rFonts w:hint="eastAsia" w:ascii="宋体" w:hAnsi="宋体"/>
        </w:rPr>
        <w:t>3</w:t>
      </w:r>
      <w:r>
        <w:rPr>
          <w:rFonts w:hint="eastAsia" w:ascii="宋体" w:hAnsi="宋体"/>
        </w:rPr>
        <w:fldChar w:fldCharType="end"/>
      </w:r>
      <w:r>
        <w:rPr>
          <w:rFonts w:hint="eastAsia" w:ascii="宋体" w:hAnsi="宋体"/>
        </w:rPr>
        <w:fldChar w:fldCharType="end"/>
      </w:r>
    </w:p>
    <w:p>
      <w:pPr>
        <w:pStyle w:val="28"/>
        <w:tabs>
          <w:tab w:val="right" w:leader="dot" w:pos="9628"/>
        </w:tabs>
        <w:rPr>
          <w:rFonts w:ascii="宋体" w:hAnsi="宋体"/>
          <w:snapToGrid/>
          <w:kern w:val="2"/>
          <w:sz w:val="21"/>
          <w:szCs w:val="22"/>
        </w:rPr>
      </w:pPr>
      <w:r>
        <w:fldChar w:fldCharType="begin"/>
      </w:r>
      <w:r>
        <w:instrText xml:space="preserve"> HYPERLINK \l "_Toc499060876" </w:instrText>
      </w:r>
      <w:r>
        <w:fldChar w:fldCharType="separate"/>
      </w:r>
      <w:r>
        <w:rPr>
          <w:rStyle w:val="46"/>
          <w:rFonts w:hint="eastAsia" w:ascii="宋体" w:hAnsi="宋体"/>
          <w:color w:val="auto"/>
        </w:rPr>
        <w:t>第二章  建设工程监理合同</w:t>
      </w:r>
      <w:r>
        <w:rPr>
          <w:rFonts w:hint="eastAsia" w:ascii="宋体" w:hAnsi="宋体"/>
        </w:rPr>
        <w:tab/>
      </w:r>
      <w:r>
        <w:rPr>
          <w:rFonts w:hint="eastAsia" w:ascii="宋体" w:hAnsi="宋体"/>
        </w:rPr>
        <w:fldChar w:fldCharType="begin"/>
      </w:r>
      <w:r>
        <w:rPr>
          <w:rFonts w:hint="eastAsia" w:ascii="宋体" w:hAnsi="宋体"/>
        </w:rPr>
        <w:instrText xml:space="preserve"> PAGEREF _Toc499060876 \h </w:instrText>
      </w:r>
      <w:r>
        <w:rPr>
          <w:rFonts w:hint="eastAsia" w:ascii="宋体" w:hAnsi="宋体"/>
        </w:rPr>
        <w:fldChar w:fldCharType="separate"/>
      </w:r>
      <w:r>
        <w:rPr>
          <w:rFonts w:ascii="宋体" w:hAnsi="宋体"/>
        </w:rPr>
        <w:t>1</w:t>
      </w:r>
      <w:r>
        <w:rPr>
          <w:rFonts w:hint="eastAsia" w:ascii="宋体" w:hAnsi="宋体"/>
        </w:rPr>
        <w:t>5</w:t>
      </w:r>
      <w:r>
        <w:rPr>
          <w:rFonts w:hint="eastAsia" w:ascii="宋体" w:hAnsi="宋体"/>
        </w:rPr>
        <w:fldChar w:fldCharType="end"/>
      </w:r>
      <w:r>
        <w:rPr>
          <w:rFonts w:hint="eastAsia" w:ascii="宋体" w:hAnsi="宋体"/>
        </w:rPr>
        <w:fldChar w:fldCharType="end"/>
      </w:r>
    </w:p>
    <w:p>
      <w:pPr>
        <w:pStyle w:val="28"/>
        <w:tabs>
          <w:tab w:val="right" w:leader="dot" w:pos="9628"/>
        </w:tabs>
        <w:rPr>
          <w:rFonts w:ascii="宋体" w:hAnsi="宋体"/>
          <w:snapToGrid/>
          <w:kern w:val="2"/>
          <w:sz w:val="21"/>
          <w:szCs w:val="22"/>
        </w:rPr>
      </w:pPr>
      <w:r>
        <w:fldChar w:fldCharType="begin"/>
      </w:r>
      <w:r>
        <w:instrText xml:space="preserve"> HYPERLINK \l "_Toc499060879" </w:instrText>
      </w:r>
      <w:r>
        <w:fldChar w:fldCharType="separate"/>
      </w:r>
      <w:r>
        <w:rPr>
          <w:rStyle w:val="46"/>
          <w:rFonts w:hint="eastAsia" w:ascii="宋体" w:hAnsi="宋体"/>
          <w:color w:val="auto"/>
        </w:rPr>
        <w:t>第三章  投标文件格式</w:t>
      </w:r>
      <w:r>
        <w:rPr>
          <w:rFonts w:hint="eastAsia" w:ascii="宋体" w:hAnsi="宋体"/>
        </w:rPr>
        <w:tab/>
      </w:r>
      <w:r>
        <w:rPr>
          <w:rFonts w:hint="eastAsia" w:ascii="宋体" w:hAnsi="宋体"/>
        </w:rPr>
        <w:fldChar w:fldCharType="begin"/>
      </w:r>
      <w:r>
        <w:rPr>
          <w:rFonts w:hint="eastAsia" w:ascii="宋体" w:hAnsi="宋体"/>
        </w:rPr>
        <w:instrText xml:space="preserve"> PAGEREF _Toc499060879 \h </w:instrText>
      </w:r>
      <w:r>
        <w:rPr>
          <w:rFonts w:hint="eastAsia" w:ascii="宋体" w:hAnsi="宋体"/>
        </w:rPr>
        <w:fldChar w:fldCharType="separate"/>
      </w:r>
      <w:r>
        <w:rPr>
          <w:rFonts w:ascii="宋体" w:hAnsi="宋体"/>
        </w:rPr>
        <w:t>1</w:t>
      </w:r>
      <w:r>
        <w:rPr>
          <w:rFonts w:hint="eastAsia" w:ascii="宋体" w:hAnsi="宋体"/>
        </w:rPr>
        <w:t>6</w:t>
      </w:r>
      <w:r>
        <w:rPr>
          <w:rFonts w:hint="eastAsia" w:ascii="宋体" w:hAnsi="宋体"/>
        </w:rPr>
        <w:fldChar w:fldCharType="end"/>
      </w:r>
      <w:r>
        <w:rPr>
          <w:rFonts w:hint="eastAsia" w:ascii="宋体" w:hAnsi="宋体"/>
        </w:rPr>
        <w:fldChar w:fldCharType="end"/>
      </w:r>
    </w:p>
    <w:p>
      <w:pPr>
        <w:pStyle w:val="36"/>
        <w:tabs>
          <w:tab w:val="right" w:leader="dot" w:pos="9628"/>
        </w:tabs>
        <w:ind w:firstLine="240"/>
        <w:rPr>
          <w:rFonts w:ascii="宋体" w:hAnsi="宋体"/>
          <w:snapToGrid/>
          <w:kern w:val="2"/>
          <w:sz w:val="21"/>
          <w:szCs w:val="22"/>
        </w:rPr>
      </w:pPr>
      <w:r>
        <w:fldChar w:fldCharType="begin"/>
      </w:r>
      <w:r>
        <w:instrText xml:space="preserve"> HYPERLINK \l "_Toc499060880" </w:instrText>
      </w:r>
      <w:r>
        <w:fldChar w:fldCharType="separate"/>
      </w:r>
      <w:r>
        <w:rPr>
          <w:rStyle w:val="46"/>
          <w:rFonts w:hint="eastAsia" w:ascii="宋体" w:hAnsi="宋体"/>
          <w:color w:val="auto"/>
        </w:rPr>
        <w:t>附件一、广州建设工程监理投标书</w:t>
      </w:r>
      <w:r>
        <w:rPr>
          <w:rFonts w:hint="eastAsia" w:ascii="宋体" w:hAnsi="宋体"/>
        </w:rPr>
        <w:tab/>
      </w:r>
      <w:r>
        <w:rPr>
          <w:rFonts w:hint="eastAsia" w:ascii="宋体" w:hAnsi="宋体"/>
        </w:rPr>
        <w:fldChar w:fldCharType="begin"/>
      </w:r>
      <w:r>
        <w:rPr>
          <w:rFonts w:hint="eastAsia" w:ascii="宋体" w:hAnsi="宋体"/>
        </w:rPr>
        <w:instrText xml:space="preserve"> PAGEREF _Toc499060880 \h </w:instrText>
      </w:r>
      <w:r>
        <w:rPr>
          <w:rFonts w:hint="eastAsia" w:ascii="宋体" w:hAnsi="宋体"/>
        </w:rPr>
        <w:fldChar w:fldCharType="separate"/>
      </w:r>
      <w:r>
        <w:rPr>
          <w:rFonts w:ascii="宋体" w:hAnsi="宋体"/>
        </w:rPr>
        <w:t>1</w:t>
      </w:r>
      <w:r>
        <w:rPr>
          <w:rFonts w:hint="eastAsia" w:ascii="宋体" w:hAnsi="宋体"/>
        </w:rPr>
        <w:t>7</w:t>
      </w:r>
      <w:r>
        <w:rPr>
          <w:rFonts w:hint="eastAsia" w:ascii="宋体" w:hAnsi="宋体"/>
        </w:rPr>
        <w:fldChar w:fldCharType="end"/>
      </w:r>
      <w:r>
        <w:rPr>
          <w:rFonts w:hint="eastAsia" w:ascii="宋体" w:hAnsi="宋体"/>
        </w:rPr>
        <w:fldChar w:fldCharType="end"/>
      </w:r>
    </w:p>
    <w:p>
      <w:pPr>
        <w:pStyle w:val="36"/>
        <w:tabs>
          <w:tab w:val="right" w:leader="dot" w:pos="9628"/>
        </w:tabs>
        <w:ind w:firstLine="240"/>
        <w:rPr>
          <w:rFonts w:ascii="宋体" w:hAnsi="宋体"/>
          <w:snapToGrid/>
          <w:kern w:val="2"/>
          <w:sz w:val="21"/>
          <w:szCs w:val="22"/>
        </w:rPr>
      </w:pPr>
      <w:r>
        <w:fldChar w:fldCharType="begin"/>
      </w:r>
      <w:r>
        <w:instrText xml:space="preserve"> HYPERLINK \l "_Toc499060881" </w:instrText>
      </w:r>
      <w:r>
        <w:fldChar w:fldCharType="separate"/>
      </w:r>
      <w:r>
        <w:rPr>
          <w:rStyle w:val="46"/>
          <w:rFonts w:hint="eastAsia" w:ascii="宋体" w:hAnsi="宋体"/>
          <w:color w:val="auto"/>
        </w:rPr>
        <w:t>附件二、投标函</w:t>
      </w:r>
      <w:r>
        <w:rPr>
          <w:rFonts w:hint="eastAsia" w:ascii="宋体" w:hAnsi="宋体"/>
        </w:rPr>
        <w:tab/>
      </w:r>
      <w:r>
        <w:rPr>
          <w:rFonts w:hint="eastAsia" w:ascii="宋体" w:hAnsi="宋体"/>
        </w:rPr>
        <w:t>1</w:t>
      </w:r>
      <w:r>
        <w:rPr>
          <w:rFonts w:hint="eastAsia" w:ascii="宋体" w:hAnsi="宋体"/>
        </w:rPr>
        <w:fldChar w:fldCharType="end"/>
      </w:r>
      <w:r>
        <w:rPr>
          <w:rFonts w:hint="eastAsia" w:ascii="宋体" w:hAnsi="宋体"/>
        </w:rPr>
        <w:t>8</w:t>
      </w:r>
    </w:p>
    <w:p>
      <w:pPr>
        <w:pStyle w:val="36"/>
        <w:tabs>
          <w:tab w:val="right" w:leader="dot" w:pos="9628"/>
        </w:tabs>
        <w:ind w:firstLine="240"/>
        <w:rPr>
          <w:rFonts w:ascii="宋体" w:hAnsi="宋体"/>
          <w:snapToGrid/>
          <w:kern w:val="2"/>
          <w:sz w:val="21"/>
          <w:szCs w:val="22"/>
        </w:rPr>
      </w:pPr>
      <w:r>
        <w:fldChar w:fldCharType="begin"/>
      </w:r>
      <w:r>
        <w:instrText xml:space="preserve"> HYPERLINK \l "_Toc499060882" </w:instrText>
      </w:r>
      <w:r>
        <w:fldChar w:fldCharType="separate"/>
      </w:r>
      <w:r>
        <w:rPr>
          <w:rStyle w:val="46"/>
          <w:rFonts w:hint="eastAsia" w:ascii="宋体" w:hAnsi="宋体"/>
          <w:color w:val="auto"/>
        </w:rPr>
        <w:t>附件三、授权委托书</w:t>
      </w:r>
      <w:r>
        <w:rPr>
          <w:rFonts w:hint="eastAsia" w:ascii="宋体" w:hAnsi="宋体"/>
        </w:rPr>
        <w:tab/>
      </w:r>
      <w:r>
        <w:rPr>
          <w:rFonts w:hint="eastAsia" w:ascii="宋体" w:hAnsi="宋体"/>
        </w:rPr>
        <w:t>1</w:t>
      </w:r>
      <w:r>
        <w:rPr>
          <w:rFonts w:hint="eastAsia" w:ascii="宋体" w:hAnsi="宋体"/>
        </w:rPr>
        <w:fldChar w:fldCharType="end"/>
      </w:r>
      <w:r>
        <w:rPr>
          <w:rFonts w:hint="eastAsia" w:ascii="宋体" w:hAnsi="宋体"/>
        </w:rPr>
        <w:t>9</w:t>
      </w:r>
    </w:p>
    <w:p>
      <w:pPr>
        <w:pStyle w:val="36"/>
        <w:tabs>
          <w:tab w:val="right" w:leader="dot" w:pos="9628"/>
        </w:tabs>
        <w:ind w:firstLine="240"/>
        <w:rPr>
          <w:rFonts w:ascii="宋体" w:hAnsi="宋体"/>
          <w:snapToGrid/>
          <w:kern w:val="2"/>
          <w:sz w:val="21"/>
          <w:szCs w:val="22"/>
        </w:rPr>
      </w:pPr>
      <w:r>
        <w:fldChar w:fldCharType="begin"/>
      </w:r>
      <w:r>
        <w:instrText xml:space="preserve"> HYPERLINK \l "_Toc499060883" </w:instrText>
      </w:r>
      <w:r>
        <w:fldChar w:fldCharType="separate"/>
      </w:r>
      <w:r>
        <w:rPr>
          <w:rStyle w:val="46"/>
          <w:rFonts w:hint="eastAsia" w:ascii="宋体" w:hAnsi="宋体"/>
          <w:color w:val="auto"/>
        </w:rPr>
        <w:t>附件四、投标函承诺书</w:t>
      </w:r>
      <w:r>
        <w:rPr>
          <w:rFonts w:hint="eastAsia" w:ascii="宋体" w:hAnsi="宋体"/>
        </w:rPr>
        <w:tab/>
      </w:r>
      <w:r>
        <w:rPr>
          <w:rFonts w:hint="eastAsia" w:ascii="宋体" w:hAnsi="宋体"/>
        </w:rPr>
        <w:t>2</w:t>
      </w:r>
      <w:r>
        <w:rPr>
          <w:rFonts w:hint="eastAsia" w:ascii="宋体" w:hAnsi="宋体"/>
        </w:rPr>
        <w:fldChar w:fldCharType="end"/>
      </w:r>
      <w:r>
        <w:rPr>
          <w:rFonts w:hint="eastAsia" w:ascii="宋体" w:hAnsi="宋体"/>
        </w:rPr>
        <w:t>0</w:t>
      </w:r>
    </w:p>
    <w:p>
      <w:pPr>
        <w:pStyle w:val="28"/>
        <w:tabs>
          <w:tab w:val="right" w:leader="dot" w:pos="9628"/>
        </w:tabs>
        <w:rPr>
          <w:rFonts w:ascii="宋体" w:hAnsi="宋体"/>
          <w:snapToGrid/>
          <w:kern w:val="2"/>
          <w:sz w:val="21"/>
          <w:szCs w:val="22"/>
        </w:rPr>
      </w:pPr>
      <w:r>
        <w:fldChar w:fldCharType="begin"/>
      </w:r>
      <w:r>
        <w:instrText xml:space="preserve"> HYPERLINK \l "_Toc499060887" </w:instrText>
      </w:r>
      <w:r>
        <w:fldChar w:fldCharType="separate"/>
      </w:r>
      <w:r>
        <w:rPr>
          <w:rStyle w:val="46"/>
          <w:rFonts w:hint="eastAsia" w:ascii="宋体" w:hAnsi="宋体"/>
          <w:color w:val="auto"/>
        </w:rPr>
        <w:t>第四章  评选办法</w:t>
      </w:r>
      <w:r>
        <w:rPr>
          <w:rFonts w:hint="eastAsia" w:ascii="宋体" w:hAnsi="宋体"/>
        </w:rPr>
        <w:tab/>
      </w:r>
      <w:r>
        <w:rPr>
          <w:rFonts w:hint="eastAsia" w:ascii="宋体" w:hAnsi="宋体"/>
        </w:rPr>
        <w:fldChar w:fldCharType="begin"/>
      </w:r>
      <w:r>
        <w:rPr>
          <w:rFonts w:hint="eastAsia" w:ascii="宋体" w:hAnsi="宋体"/>
        </w:rPr>
        <w:instrText xml:space="preserve"> PAGEREF _Toc499060887 \h </w:instrText>
      </w:r>
      <w:r>
        <w:rPr>
          <w:rFonts w:hint="eastAsia" w:ascii="宋体" w:hAnsi="宋体"/>
        </w:rPr>
        <w:fldChar w:fldCharType="separate"/>
      </w:r>
      <w:r>
        <w:rPr>
          <w:rFonts w:hint="eastAsia" w:ascii="宋体" w:hAnsi="宋体"/>
        </w:rPr>
        <w:t>2</w:t>
      </w:r>
      <w:r>
        <w:rPr>
          <w:rFonts w:ascii="宋体" w:hAnsi="宋体"/>
        </w:rPr>
        <w:t>2</w:t>
      </w:r>
      <w:r>
        <w:rPr>
          <w:rFonts w:hint="eastAsia" w:ascii="宋体" w:hAnsi="宋体"/>
        </w:rPr>
        <w:fldChar w:fldCharType="end"/>
      </w:r>
      <w:r>
        <w:rPr>
          <w:rFonts w:hint="eastAsia" w:ascii="宋体" w:hAnsi="宋体"/>
        </w:rPr>
        <w:fldChar w:fldCharType="end"/>
      </w:r>
    </w:p>
    <w:p>
      <w:pPr>
        <w:pStyle w:val="28"/>
        <w:tabs>
          <w:tab w:val="right" w:leader="dot" w:pos="9628"/>
        </w:tabs>
        <w:rPr>
          <w:rFonts w:ascii="宋体" w:hAnsi="宋体"/>
          <w:snapToGrid/>
          <w:kern w:val="2"/>
          <w:sz w:val="21"/>
          <w:szCs w:val="22"/>
        </w:rPr>
      </w:pPr>
    </w:p>
    <w:p>
      <w:pPr>
        <w:pStyle w:val="20"/>
        <w:tabs>
          <w:tab w:val="right" w:leader="dot" w:pos="9638"/>
        </w:tabs>
        <w:spacing w:line="360" w:lineRule="auto"/>
        <w:ind w:right="420"/>
        <w:rPr>
          <w:rFonts w:hAnsi="宋体" w:cs="宋体"/>
          <w:sz w:val="24"/>
        </w:rPr>
      </w:pPr>
      <w:r>
        <w:rPr>
          <w:rFonts w:hint="eastAsia" w:hAnsi="宋体" w:cs="宋体"/>
          <w:kern w:val="2"/>
        </w:rPr>
        <w:fldChar w:fldCharType="end"/>
      </w:r>
    </w:p>
    <w:p>
      <w:pPr>
        <w:pStyle w:val="20"/>
        <w:spacing w:line="360" w:lineRule="auto"/>
        <w:rPr>
          <w:rFonts w:hAnsi="宋体" w:cs="宋体"/>
          <w:sz w:val="24"/>
        </w:rPr>
      </w:pPr>
    </w:p>
    <w:p>
      <w:pPr>
        <w:widowControl/>
        <w:rPr>
          <w:rFonts w:ascii="宋体" w:hAnsi="宋体"/>
          <w:sz w:val="18"/>
          <w:szCs w:val="18"/>
        </w:rPr>
        <w:sectPr>
          <w:pgSz w:w="11906" w:h="16838"/>
          <w:pgMar w:top="1418" w:right="1134" w:bottom="1134" w:left="1134" w:header="851" w:footer="851" w:gutter="0"/>
          <w:cols w:space="720" w:num="1"/>
        </w:sectPr>
      </w:pPr>
    </w:p>
    <w:p>
      <w:pPr>
        <w:pStyle w:val="3"/>
        <w:keepNext w:val="0"/>
        <w:keepLines w:val="0"/>
        <w:wordWrap w:val="0"/>
        <w:topLinePunct/>
        <w:adjustRightInd w:val="0"/>
        <w:snapToGrid w:val="0"/>
        <w:spacing w:line="360" w:lineRule="auto"/>
        <w:jc w:val="center"/>
        <w:rPr>
          <w:rFonts w:ascii="宋体" w:hAnsi="宋体" w:cs="宋体"/>
          <w:sz w:val="32"/>
          <w:szCs w:val="32"/>
        </w:rPr>
      </w:pPr>
      <w:bookmarkStart w:id="0" w:name="_Toc499060867"/>
      <w:bookmarkStart w:id="1" w:name="_Toc29909"/>
      <w:bookmarkStart w:id="2" w:name="_Toc27573"/>
      <w:r>
        <w:rPr>
          <w:rFonts w:hint="eastAsia" w:ascii="宋体" w:hAnsi="宋体" w:cs="宋体"/>
        </w:rPr>
        <w:t>投标须知前附表</w:t>
      </w:r>
      <w:bookmarkEnd w:id="0"/>
      <w:bookmarkEnd w:id="1"/>
      <w:bookmarkEnd w:id="2"/>
    </w:p>
    <w:tbl>
      <w:tblPr>
        <w:tblStyle w:val="42"/>
        <w:tblW w:w="928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981"/>
        <w:gridCol w:w="1845"/>
        <w:gridCol w:w="57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2"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项目</w:t>
            </w:r>
          </w:p>
        </w:tc>
        <w:tc>
          <w:tcPr>
            <w:tcW w:w="981"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条款号</w:t>
            </w:r>
          </w:p>
        </w:tc>
        <w:tc>
          <w:tcPr>
            <w:tcW w:w="1845"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内容</w:t>
            </w:r>
          </w:p>
        </w:tc>
        <w:tc>
          <w:tcPr>
            <w:tcW w:w="5760"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2"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1</w:t>
            </w:r>
          </w:p>
        </w:tc>
        <w:tc>
          <w:tcPr>
            <w:tcW w:w="981"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2.2.1</w:t>
            </w:r>
          </w:p>
        </w:tc>
        <w:tc>
          <w:tcPr>
            <w:tcW w:w="1845"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工程名称</w:t>
            </w:r>
          </w:p>
        </w:tc>
        <w:tc>
          <w:tcPr>
            <w:tcW w:w="5760" w:type="dxa"/>
            <w:noWrap/>
            <w:vAlign w:val="center"/>
          </w:tcPr>
          <w:p>
            <w:pPr>
              <w:widowControl/>
              <w:tabs>
                <w:tab w:val="center" w:pos="4415"/>
              </w:tabs>
              <w:snapToGrid w:val="0"/>
              <w:spacing w:line="240" w:lineRule="auto"/>
              <w:jc w:val="left"/>
              <w:rPr>
                <w:rFonts w:ascii="宋体" w:hAnsi="宋体"/>
                <w:szCs w:val="21"/>
              </w:rPr>
            </w:pPr>
            <w:r>
              <w:rPr>
                <w:rFonts w:hint="eastAsia" w:ascii="宋体" w:hAnsi="宋体"/>
                <w:szCs w:val="21"/>
                <w:u w:val="single"/>
              </w:rPr>
              <w:t>新中轴线经营性项目2023年度监理项目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2"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2</w:t>
            </w:r>
          </w:p>
        </w:tc>
        <w:tc>
          <w:tcPr>
            <w:tcW w:w="981"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2.2.2</w:t>
            </w:r>
          </w:p>
        </w:tc>
        <w:tc>
          <w:tcPr>
            <w:tcW w:w="1845"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建设地点</w:t>
            </w:r>
          </w:p>
        </w:tc>
        <w:tc>
          <w:tcPr>
            <w:tcW w:w="5760" w:type="dxa"/>
            <w:noWrap/>
            <w:vAlign w:val="center"/>
          </w:tcPr>
          <w:p>
            <w:pPr>
              <w:pStyle w:val="41"/>
              <w:spacing w:line="240" w:lineRule="auto"/>
              <w:ind w:firstLine="0" w:firstLineChars="0"/>
              <w:rPr>
                <w:rFonts w:ascii="宋体" w:hAnsi="宋体"/>
                <w:szCs w:val="21"/>
              </w:rPr>
            </w:pPr>
            <w:r>
              <w:rPr>
                <w:rFonts w:hint="eastAsia" w:ascii="宋体" w:hAnsi="宋体"/>
                <w:szCs w:val="21"/>
                <w:u w:val="single"/>
              </w:rPr>
              <w:t>广州市天河区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2"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3</w:t>
            </w:r>
          </w:p>
        </w:tc>
        <w:tc>
          <w:tcPr>
            <w:tcW w:w="981"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2.2.3</w:t>
            </w:r>
          </w:p>
        </w:tc>
        <w:tc>
          <w:tcPr>
            <w:tcW w:w="1845"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建设规模</w:t>
            </w:r>
          </w:p>
        </w:tc>
        <w:tc>
          <w:tcPr>
            <w:tcW w:w="5760" w:type="dxa"/>
            <w:noWrap/>
            <w:vAlign w:val="center"/>
          </w:tcPr>
          <w:p>
            <w:pPr>
              <w:spacing w:line="240" w:lineRule="auto"/>
              <w:rPr>
                <w:rFonts w:ascii="宋体" w:hAnsi="宋体"/>
                <w:szCs w:val="21"/>
                <w:lang w:val="en-GB"/>
              </w:rPr>
            </w:pPr>
            <w:bookmarkStart w:id="3" w:name="_Hlk104195758"/>
            <w:r>
              <w:rPr>
                <w:rFonts w:hint="eastAsia" w:ascii="宋体" w:hAnsi="宋体"/>
                <w:szCs w:val="21"/>
                <w:u w:val="single"/>
                <w:lang w:val="en-GB"/>
              </w:rPr>
              <w:t>花城汇、海心沙面对市民游客开放，项目经营性提升工程种类数量繁多，有商场、通道及停车场等，涉及水电、暖通、土建、装修等多个专业类型。我部拟组织招选新中轴线项目年度监理单位，负责新中轴线经营性项目监理工作，保证项目工程质量，提升经营区域环境品质。监理服务单位负责花城汇项目、花城汇地下停车场项目、海心沙项目、海心沙地下停车场项目共四个分项目</w:t>
            </w:r>
            <w:r>
              <w:rPr>
                <w:rFonts w:hint="eastAsia" w:ascii="宋体" w:hAnsi="宋体"/>
                <w:szCs w:val="21"/>
                <w:u w:val="single"/>
              </w:rPr>
              <w:t>业主指定</w:t>
            </w:r>
            <w:r>
              <w:rPr>
                <w:rFonts w:hint="eastAsia" w:ascii="宋体" w:hAnsi="宋体"/>
                <w:szCs w:val="21"/>
                <w:u w:val="single"/>
                <w:lang w:val="en-GB"/>
              </w:rPr>
              <w:t>建设工程的监理工作。</w:t>
            </w:r>
            <w:bookmarkEnd w:id="3"/>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2"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4</w:t>
            </w:r>
          </w:p>
        </w:tc>
        <w:tc>
          <w:tcPr>
            <w:tcW w:w="981"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2.2.4</w:t>
            </w:r>
          </w:p>
        </w:tc>
        <w:tc>
          <w:tcPr>
            <w:tcW w:w="1845"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工程估算</w:t>
            </w:r>
          </w:p>
        </w:tc>
        <w:tc>
          <w:tcPr>
            <w:tcW w:w="5760" w:type="dxa"/>
            <w:noWrap/>
            <w:vAlign w:val="center"/>
          </w:tcPr>
          <w:p>
            <w:pPr>
              <w:pStyle w:val="41"/>
              <w:spacing w:line="240" w:lineRule="auto"/>
              <w:ind w:firstLine="0" w:firstLineChars="0"/>
              <w:jc w:val="left"/>
              <w:rPr>
                <w:rFonts w:ascii="宋体" w:hAnsi="宋体"/>
                <w:szCs w:val="21"/>
              </w:rPr>
            </w:pPr>
            <w:r>
              <w:rPr>
                <w:rFonts w:hint="eastAsia" w:ascii="宋体" w:hAnsi="宋体"/>
                <w:szCs w:val="21"/>
              </w:rPr>
              <w:t>合计约3955万元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02"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5</w:t>
            </w:r>
          </w:p>
        </w:tc>
        <w:tc>
          <w:tcPr>
            <w:tcW w:w="981"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2.2.5</w:t>
            </w:r>
          </w:p>
        </w:tc>
        <w:tc>
          <w:tcPr>
            <w:tcW w:w="1845"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监理目标</w:t>
            </w:r>
          </w:p>
        </w:tc>
        <w:tc>
          <w:tcPr>
            <w:tcW w:w="5760" w:type="dxa"/>
            <w:noWrap/>
            <w:vAlign w:val="center"/>
          </w:tcPr>
          <w:p>
            <w:pPr>
              <w:spacing w:line="240" w:lineRule="auto"/>
              <w:rPr>
                <w:rFonts w:ascii="宋体" w:hAnsi="宋体"/>
                <w:szCs w:val="21"/>
              </w:rPr>
            </w:pPr>
            <w:r>
              <w:rPr>
                <w:rFonts w:hint="eastAsia" w:ascii="宋体" w:hAnsi="宋体"/>
                <w:szCs w:val="21"/>
              </w:rPr>
              <w:t>投资控制目标：控制在经审批后的项目概算建安工程总造价的范围内。</w:t>
            </w:r>
          </w:p>
          <w:p>
            <w:pPr>
              <w:spacing w:line="240" w:lineRule="auto"/>
              <w:rPr>
                <w:rFonts w:ascii="宋体" w:hAnsi="宋体"/>
                <w:szCs w:val="21"/>
              </w:rPr>
            </w:pPr>
            <w:r>
              <w:rPr>
                <w:rFonts w:hint="eastAsia" w:ascii="宋体" w:hAnsi="宋体"/>
                <w:szCs w:val="21"/>
              </w:rPr>
              <w:t>进度控制目标：施工工期为业主下达开工令或开工报告审批之日起按施工进度要求控制。</w:t>
            </w:r>
          </w:p>
          <w:p>
            <w:pPr>
              <w:pStyle w:val="41"/>
              <w:spacing w:line="240" w:lineRule="auto"/>
              <w:ind w:firstLine="0" w:firstLineChars="0"/>
              <w:rPr>
                <w:rFonts w:ascii="宋体" w:hAnsi="宋体"/>
                <w:szCs w:val="21"/>
              </w:rPr>
            </w:pPr>
            <w:r>
              <w:rPr>
                <w:rFonts w:hint="eastAsia" w:ascii="宋体" w:hAnsi="宋体"/>
                <w:szCs w:val="21"/>
              </w:rPr>
              <w:t>质量控制目标：■合格、□市优良、□省优良。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2"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6</w:t>
            </w:r>
          </w:p>
        </w:tc>
        <w:tc>
          <w:tcPr>
            <w:tcW w:w="981"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2.3.1</w:t>
            </w:r>
          </w:p>
        </w:tc>
        <w:tc>
          <w:tcPr>
            <w:tcW w:w="1845"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招选范围</w:t>
            </w:r>
          </w:p>
        </w:tc>
        <w:tc>
          <w:tcPr>
            <w:tcW w:w="5760" w:type="dxa"/>
            <w:noWrap/>
            <w:vAlign w:val="center"/>
          </w:tcPr>
          <w:p>
            <w:pPr>
              <w:spacing w:line="240" w:lineRule="auto"/>
              <w:rPr>
                <w:rFonts w:ascii="宋体" w:hAnsi="宋体"/>
                <w:szCs w:val="21"/>
              </w:rPr>
            </w:pPr>
            <w:r>
              <w:rPr>
                <w:rFonts w:hint="eastAsia" w:ascii="宋体" w:hAnsi="宋体"/>
                <w:szCs w:val="21"/>
              </w:rPr>
              <w:t>详见招选公告。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702"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7</w:t>
            </w:r>
          </w:p>
        </w:tc>
        <w:tc>
          <w:tcPr>
            <w:tcW w:w="981"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2.3.2</w:t>
            </w:r>
          </w:p>
        </w:tc>
        <w:tc>
          <w:tcPr>
            <w:tcW w:w="1845"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监理服务期</w:t>
            </w:r>
          </w:p>
        </w:tc>
        <w:tc>
          <w:tcPr>
            <w:tcW w:w="5760" w:type="dxa"/>
            <w:noWrap/>
            <w:vAlign w:val="center"/>
          </w:tcPr>
          <w:p>
            <w:pPr>
              <w:spacing w:line="240" w:lineRule="auto"/>
              <w:rPr>
                <w:rFonts w:ascii="宋体" w:hAnsi="宋体"/>
                <w:szCs w:val="21"/>
              </w:rPr>
            </w:pPr>
            <w:r>
              <w:rPr>
                <w:rFonts w:hint="eastAsia" w:ascii="宋体" w:hAnsi="宋体"/>
                <w:szCs w:val="21"/>
              </w:rPr>
              <w:t>施工准备阶段、工程施工阶段、工程保修阶段和竣工结算期的监理服务期：</w:t>
            </w:r>
          </w:p>
          <w:p>
            <w:pPr>
              <w:spacing w:line="240" w:lineRule="auto"/>
              <w:ind w:left="420" w:leftChars="0" w:hanging="420" w:hangingChars="200"/>
              <w:rPr>
                <w:rFonts w:ascii="宋体" w:hAnsi="宋体"/>
                <w:szCs w:val="21"/>
              </w:rPr>
            </w:pPr>
            <w:r>
              <w:rPr>
                <w:rFonts w:hint="eastAsia" w:ascii="宋体" w:hAnsi="宋体"/>
                <w:szCs w:val="21"/>
              </w:rPr>
              <w:t>（1）施工准备阶段：从中选通知书/业务委托函发出到工程开工之日；</w:t>
            </w:r>
          </w:p>
          <w:p>
            <w:pPr>
              <w:spacing w:line="240" w:lineRule="auto"/>
              <w:ind w:left="420" w:leftChars="0" w:hanging="420" w:hangingChars="200"/>
              <w:rPr>
                <w:rFonts w:ascii="宋体" w:hAnsi="宋体"/>
                <w:szCs w:val="21"/>
              </w:rPr>
            </w:pPr>
            <w:r>
              <w:rPr>
                <w:rFonts w:hint="eastAsia" w:ascii="宋体" w:hAnsi="宋体"/>
                <w:szCs w:val="21"/>
              </w:rPr>
              <w:t>（2）施工阶段监理服务期：从业主下达开工令或开工报告审批之日起至施工项目全部完工并办理竣工验收、竣工结算、备案管理为止；</w:t>
            </w:r>
          </w:p>
          <w:p>
            <w:pPr>
              <w:spacing w:line="240" w:lineRule="auto"/>
              <w:ind w:left="420" w:leftChars="0" w:hanging="420" w:hangingChars="200"/>
              <w:rPr>
                <w:rFonts w:ascii="宋体" w:hAnsi="宋体"/>
                <w:szCs w:val="21"/>
              </w:rPr>
            </w:pPr>
            <w:r>
              <w:rPr>
                <w:rFonts w:hint="eastAsia" w:ascii="宋体" w:hAnsi="宋体"/>
                <w:szCs w:val="21"/>
              </w:rPr>
              <w:t>（3）缺陷责任期阶段监理服务期：从工程竣工验收合格、备案管理完成之日起</w:t>
            </w:r>
            <w:r>
              <w:rPr>
                <w:rFonts w:ascii="宋体" w:hAnsi="宋体"/>
                <w:szCs w:val="21"/>
                <w:u w:val="single"/>
              </w:rPr>
              <w:t>2</w:t>
            </w:r>
            <w:r>
              <w:rPr>
                <w:rFonts w:hint="eastAsia" w:ascii="宋体" w:hAnsi="宋体"/>
                <w:szCs w:val="21"/>
              </w:rPr>
              <w:t>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2"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8</w:t>
            </w:r>
          </w:p>
        </w:tc>
        <w:tc>
          <w:tcPr>
            <w:tcW w:w="981"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3.1</w:t>
            </w:r>
          </w:p>
        </w:tc>
        <w:tc>
          <w:tcPr>
            <w:tcW w:w="1845"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资金来源</w:t>
            </w:r>
          </w:p>
        </w:tc>
        <w:tc>
          <w:tcPr>
            <w:tcW w:w="5760" w:type="dxa"/>
            <w:noWrap/>
            <w:vAlign w:val="center"/>
          </w:tcPr>
          <w:p>
            <w:pPr>
              <w:pStyle w:val="41"/>
              <w:spacing w:line="240" w:lineRule="auto"/>
              <w:ind w:firstLine="0" w:firstLineChars="0"/>
              <w:rPr>
                <w:rFonts w:ascii="宋体" w:hAnsi="宋体"/>
                <w:szCs w:val="21"/>
              </w:rPr>
            </w:pPr>
            <w:r>
              <w:rPr>
                <w:rFonts w:hint="eastAsia" w:ascii="宋体" w:hAnsi="宋体"/>
                <w:szCs w:val="21"/>
              </w:rPr>
              <w:t>□财政资金；□贷款；■自筹资金。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2"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9</w:t>
            </w:r>
          </w:p>
        </w:tc>
        <w:tc>
          <w:tcPr>
            <w:tcW w:w="981"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4.1</w:t>
            </w:r>
          </w:p>
        </w:tc>
        <w:tc>
          <w:tcPr>
            <w:tcW w:w="1845" w:type="dxa"/>
            <w:noWrap/>
            <w:vAlign w:val="center"/>
          </w:tcPr>
          <w:p>
            <w:pPr>
              <w:pStyle w:val="41"/>
              <w:spacing w:line="240" w:lineRule="auto"/>
              <w:ind w:left="-63" w:leftChars="-30" w:firstLine="0" w:firstLineChars="0"/>
              <w:jc w:val="center"/>
              <w:rPr>
                <w:rFonts w:ascii="宋体" w:hAnsi="宋体"/>
                <w:szCs w:val="21"/>
              </w:rPr>
            </w:pPr>
            <w:r>
              <w:rPr>
                <w:rFonts w:hint="eastAsia" w:ascii="宋体" w:hAnsi="宋体"/>
                <w:szCs w:val="21"/>
              </w:rPr>
              <w:t>投标人资质要求</w:t>
            </w:r>
          </w:p>
        </w:tc>
        <w:tc>
          <w:tcPr>
            <w:tcW w:w="5760" w:type="dxa"/>
            <w:noWrap/>
            <w:vAlign w:val="center"/>
          </w:tcPr>
          <w:p>
            <w:pPr>
              <w:pStyle w:val="41"/>
              <w:spacing w:line="240" w:lineRule="auto"/>
              <w:ind w:firstLine="0" w:firstLineChars="0"/>
              <w:rPr>
                <w:rFonts w:ascii="宋体" w:hAnsi="宋体"/>
                <w:szCs w:val="21"/>
              </w:rPr>
            </w:pPr>
            <w:r>
              <w:rPr>
                <w:rFonts w:hint="eastAsia" w:ascii="宋体" w:hAnsi="宋体"/>
                <w:szCs w:val="21"/>
              </w:rPr>
              <w:t>详见招选公告。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702"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10</w:t>
            </w:r>
          </w:p>
        </w:tc>
        <w:tc>
          <w:tcPr>
            <w:tcW w:w="981"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4.2</w:t>
            </w:r>
          </w:p>
        </w:tc>
        <w:tc>
          <w:tcPr>
            <w:tcW w:w="1845"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监理人员的专业配套要求</w:t>
            </w:r>
          </w:p>
        </w:tc>
        <w:tc>
          <w:tcPr>
            <w:tcW w:w="5760" w:type="dxa"/>
            <w:noWrap/>
            <w:vAlign w:val="center"/>
          </w:tcPr>
          <w:p>
            <w:pPr>
              <w:spacing w:line="240" w:lineRule="auto"/>
              <w:ind w:left="420" w:leftChars="0" w:hanging="420" w:hangingChars="20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总监理工程师：必须具有建设部2006年4月1日后颁发的中华人民共和国注册监理工程师注册执业证书，且其注册专业为房屋建筑工程，注册执业单位为本公司。</w:t>
            </w:r>
          </w:p>
          <w:p>
            <w:pPr>
              <w:spacing w:line="240" w:lineRule="auto"/>
              <w:ind w:left="420" w:leftChars="0" w:hanging="420" w:hangingChars="200"/>
              <w:rPr>
                <w:rFonts w:hint="eastAsia" w:ascii="宋体" w:hAnsi="宋体"/>
                <w:szCs w:val="21"/>
              </w:rPr>
            </w:pPr>
            <w:r>
              <w:rPr>
                <w:rFonts w:hint="eastAsia" w:ascii="宋体" w:hAnsi="宋体"/>
                <w:szCs w:val="21"/>
              </w:rPr>
              <w:t>（2）专业监理人员最低配套要求：不少于5人，各专业人员应根据工程进度及建设单位要求派驻现场，应满足施工时监理人员旁站监理的要求。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2"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11</w:t>
            </w:r>
          </w:p>
        </w:tc>
        <w:tc>
          <w:tcPr>
            <w:tcW w:w="981"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4.3</w:t>
            </w:r>
          </w:p>
        </w:tc>
        <w:tc>
          <w:tcPr>
            <w:tcW w:w="1845" w:type="dxa"/>
            <w:noWrap/>
            <w:vAlign w:val="center"/>
          </w:tcPr>
          <w:p>
            <w:pPr>
              <w:pStyle w:val="41"/>
              <w:spacing w:line="240" w:lineRule="auto"/>
              <w:ind w:left="-61" w:leftChars="-29" w:right="-59" w:rightChars="-28" w:firstLine="0" w:firstLineChars="0"/>
              <w:jc w:val="center"/>
              <w:rPr>
                <w:rFonts w:ascii="宋体" w:hAnsi="宋体"/>
                <w:szCs w:val="21"/>
              </w:rPr>
            </w:pPr>
            <w:r>
              <w:rPr>
                <w:rFonts w:hint="eastAsia" w:ascii="宋体" w:hAnsi="宋体"/>
                <w:szCs w:val="21"/>
              </w:rPr>
              <w:t>资格审查方式</w:t>
            </w:r>
          </w:p>
        </w:tc>
        <w:tc>
          <w:tcPr>
            <w:tcW w:w="5760" w:type="dxa"/>
            <w:noWrap/>
            <w:vAlign w:val="center"/>
          </w:tcPr>
          <w:p>
            <w:pPr>
              <w:pStyle w:val="41"/>
              <w:spacing w:line="240" w:lineRule="auto"/>
              <w:ind w:firstLine="0" w:firstLineChars="0"/>
              <w:rPr>
                <w:rFonts w:ascii="宋体" w:hAnsi="宋体"/>
                <w:szCs w:val="21"/>
              </w:rPr>
            </w:pPr>
            <w:r>
              <w:rPr>
                <w:rFonts w:hint="eastAsia" w:ascii="宋体" w:hAnsi="宋体"/>
                <w:szCs w:val="21"/>
              </w:rPr>
              <w:t>资格后审。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702"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12</w:t>
            </w:r>
          </w:p>
        </w:tc>
        <w:tc>
          <w:tcPr>
            <w:tcW w:w="981"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13.1</w:t>
            </w:r>
          </w:p>
        </w:tc>
        <w:tc>
          <w:tcPr>
            <w:tcW w:w="1845" w:type="dxa"/>
            <w:noWrap/>
            <w:vAlign w:val="center"/>
          </w:tcPr>
          <w:p>
            <w:pPr>
              <w:pStyle w:val="41"/>
              <w:spacing w:line="240" w:lineRule="auto"/>
              <w:ind w:left="-61" w:leftChars="-29" w:right="-44" w:rightChars="-21" w:firstLine="0" w:firstLineChars="0"/>
              <w:jc w:val="center"/>
              <w:rPr>
                <w:rFonts w:ascii="宋体" w:hAnsi="宋体"/>
                <w:szCs w:val="21"/>
              </w:rPr>
            </w:pPr>
            <w:r>
              <w:rPr>
                <w:rFonts w:hint="eastAsia" w:ascii="宋体" w:hAnsi="宋体"/>
                <w:szCs w:val="21"/>
              </w:rPr>
              <w:t>监理报价方式</w:t>
            </w:r>
          </w:p>
        </w:tc>
        <w:tc>
          <w:tcPr>
            <w:tcW w:w="5760" w:type="dxa"/>
            <w:noWrap/>
            <w:vAlign w:val="center"/>
          </w:tcPr>
          <w:p>
            <w:pPr>
              <w:pStyle w:val="41"/>
              <w:spacing w:line="240" w:lineRule="auto"/>
              <w:ind w:firstLine="0" w:firstLineChars="0"/>
              <w:rPr>
                <w:rFonts w:ascii="宋体" w:hAnsi="宋体"/>
                <w:b/>
                <w:bCs/>
                <w:szCs w:val="21"/>
              </w:rPr>
            </w:pPr>
            <w:r>
              <w:rPr>
                <w:rFonts w:hint="eastAsia" w:ascii="宋体" w:hAnsi="宋体"/>
                <w:b/>
                <w:bCs/>
                <w:szCs w:val="21"/>
              </w:rPr>
              <w:t>本项目最高投标限价为</w:t>
            </w:r>
            <w:r>
              <w:rPr>
                <w:rFonts w:hint="eastAsia" w:ascii="宋体" w:hAnsi="宋体"/>
                <w:b/>
                <w:bCs/>
                <w:szCs w:val="21"/>
                <w:lang w:eastAsia="zh-CN"/>
              </w:rPr>
              <w:t>83.62</w:t>
            </w:r>
            <w:r>
              <w:rPr>
                <w:rFonts w:hint="eastAsia" w:ascii="宋体" w:hAnsi="宋体"/>
                <w:b/>
                <w:bCs/>
                <w:szCs w:val="21"/>
              </w:rPr>
              <w:t>万元</w:t>
            </w:r>
          </w:p>
          <w:p>
            <w:pPr>
              <w:pStyle w:val="41"/>
              <w:spacing w:line="240" w:lineRule="auto"/>
              <w:ind w:firstLine="0" w:firstLineChars="0"/>
              <w:rPr>
                <w:rFonts w:ascii="宋体" w:hAnsi="宋体"/>
                <w:szCs w:val="21"/>
              </w:rPr>
            </w:pPr>
            <w:r>
              <w:rPr>
                <w:rFonts w:hint="eastAsia" w:ascii="宋体" w:hAnsi="宋体"/>
                <w:szCs w:val="21"/>
              </w:rPr>
              <w:t>自行报价（</w:t>
            </w:r>
            <w:r>
              <w:rPr>
                <w:rFonts w:hint="eastAsia" w:ascii="宋体" w:hAnsi="宋体"/>
                <w:szCs w:val="21"/>
                <w:u w:val="single"/>
              </w:rPr>
              <w:t>报价以万元为单位，监理费率以%为单位，精确到小数位后2位</w:t>
            </w:r>
            <w:r>
              <w:rPr>
                <w:rFonts w:hint="eastAsia" w:ascii="宋体" w:hAnsi="宋体"/>
                <w:szCs w:val="21"/>
              </w:rPr>
              <w:t>），以本项目的工程估算（3955</w:t>
            </w:r>
            <w:r>
              <w:rPr>
                <w:rFonts w:ascii="宋体" w:hAnsi="宋体"/>
                <w:szCs w:val="21"/>
              </w:rPr>
              <w:t>万元</w:t>
            </w:r>
            <w:r>
              <w:rPr>
                <w:rFonts w:hint="eastAsia" w:ascii="宋体" w:hAnsi="宋体"/>
                <w:szCs w:val="21"/>
              </w:rPr>
              <w:t>）作为计费基数，报监理费率（即投标报价（万元）=3955万元</w:t>
            </w:r>
            <w:r>
              <w:rPr>
                <w:rFonts w:hint="eastAsia" w:ascii="宋体" w:hAnsi="宋体"/>
                <w:szCs w:val="21"/>
                <w:lang w:eastAsia="zh-CN"/>
              </w:rPr>
              <w:t>×</w:t>
            </w:r>
            <w:r>
              <w:rPr>
                <w:rFonts w:hint="eastAsia" w:ascii="宋体" w:hAnsi="宋体"/>
                <w:szCs w:val="21"/>
              </w:rPr>
              <w:t>监理费率），最终合同结算价按实际服务项目的工程费为计费基数，乘以监理费率，合计为最终监理服务费的结算金额。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2"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13</w:t>
            </w:r>
          </w:p>
        </w:tc>
        <w:tc>
          <w:tcPr>
            <w:tcW w:w="981"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15.1</w:t>
            </w:r>
          </w:p>
        </w:tc>
        <w:tc>
          <w:tcPr>
            <w:tcW w:w="1845"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投标有效期</w:t>
            </w:r>
          </w:p>
        </w:tc>
        <w:tc>
          <w:tcPr>
            <w:tcW w:w="5760" w:type="dxa"/>
            <w:noWrap/>
            <w:vAlign w:val="center"/>
          </w:tcPr>
          <w:p>
            <w:pPr>
              <w:pStyle w:val="41"/>
              <w:spacing w:line="240" w:lineRule="auto"/>
              <w:ind w:firstLine="0" w:firstLineChars="0"/>
              <w:rPr>
                <w:rFonts w:ascii="宋体" w:hAnsi="宋体"/>
                <w:szCs w:val="21"/>
                <w:u w:val="single"/>
              </w:rPr>
            </w:pPr>
            <w:r>
              <w:rPr>
                <w:rFonts w:hint="eastAsia" w:ascii="宋体" w:hAnsi="宋体"/>
                <w:szCs w:val="21"/>
              </w:rPr>
              <w:t>为</w:t>
            </w:r>
            <w:r>
              <w:rPr>
                <w:rFonts w:hint="eastAsia" w:ascii="宋体" w:hAnsi="宋体"/>
                <w:szCs w:val="21"/>
                <w:u w:val="single"/>
              </w:rPr>
              <w:t xml:space="preserve"> 90</w:t>
            </w:r>
            <w:r>
              <w:rPr>
                <w:rFonts w:hint="eastAsia" w:ascii="宋体" w:hAnsi="宋体"/>
                <w:szCs w:val="21"/>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02"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14</w:t>
            </w:r>
          </w:p>
        </w:tc>
        <w:tc>
          <w:tcPr>
            <w:tcW w:w="981"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16.1</w:t>
            </w:r>
          </w:p>
        </w:tc>
        <w:tc>
          <w:tcPr>
            <w:tcW w:w="1845"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投标保证金</w:t>
            </w:r>
          </w:p>
        </w:tc>
        <w:tc>
          <w:tcPr>
            <w:tcW w:w="5760" w:type="dxa"/>
            <w:noWrap/>
            <w:vAlign w:val="center"/>
          </w:tcPr>
          <w:p>
            <w:pPr>
              <w:spacing w:line="240" w:lineRule="auto"/>
              <w:rPr>
                <w:rFonts w:ascii="宋体" w:hAnsi="宋体"/>
                <w:szCs w:val="21"/>
                <w:u w:val="single"/>
              </w:rPr>
            </w:pPr>
            <w:r>
              <w:rPr>
                <w:rFonts w:hint="eastAsia" w:ascii="宋体" w:hAnsi="宋体"/>
                <w:szCs w:val="21"/>
                <w:u w:val="single"/>
              </w:rPr>
              <w:t>本项目不收取投标保证金。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702"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15</w:t>
            </w:r>
          </w:p>
        </w:tc>
        <w:tc>
          <w:tcPr>
            <w:tcW w:w="981"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5.1</w:t>
            </w:r>
          </w:p>
        </w:tc>
        <w:tc>
          <w:tcPr>
            <w:tcW w:w="1845"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踏勘现场</w:t>
            </w:r>
          </w:p>
        </w:tc>
        <w:tc>
          <w:tcPr>
            <w:tcW w:w="5760" w:type="dxa"/>
            <w:noWrap/>
            <w:vAlign w:val="center"/>
          </w:tcPr>
          <w:p>
            <w:pPr>
              <w:pStyle w:val="41"/>
              <w:spacing w:line="240" w:lineRule="auto"/>
              <w:ind w:firstLine="0" w:firstLineChars="0"/>
              <w:rPr>
                <w:rFonts w:ascii="宋体" w:hAnsi="宋体"/>
                <w:szCs w:val="21"/>
              </w:rPr>
            </w:pPr>
            <w:r>
              <w:rPr>
                <w:rFonts w:hint="eastAsia" w:ascii="宋体" w:hAnsi="宋体"/>
                <w:szCs w:val="21"/>
              </w:rPr>
              <w:t>■投标人自行现场考察。</w:t>
            </w:r>
          </w:p>
          <w:p>
            <w:pPr>
              <w:pStyle w:val="41"/>
              <w:spacing w:line="240" w:lineRule="auto"/>
              <w:ind w:firstLine="0" w:firstLineChars="0"/>
              <w:rPr>
                <w:rFonts w:ascii="宋体" w:hAnsi="宋体"/>
                <w:szCs w:val="21"/>
                <w:u w:val="single"/>
              </w:rPr>
            </w:pPr>
            <w:r>
              <w:rPr>
                <w:rFonts w:hint="eastAsia" w:ascii="宋体" w:hAnsi="宋体"/>
                <w:szCs w:val="21"/>
              </w:rPr>
              <w:t>□在本工程开标时间前，由招选人组织现场考察。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02"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16</w:t>
            </w:r>
          </w:p>
        </w:tc>
        <w:tc>
          <w:tcPr>
            <w:tcW w:w="981"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8.1</w:t>
            </w:r>
          </w:p>
        </w:tc>
        <w:tc>
          <w:tcPr>
            <w:tcW w:w="1845"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招选答疑</w:t>
            </w:r>
          </w:p>
        </w:tc>
        <w:tc>
          <w:tcPr>
            <w:tcW w:w="5760" w:type="dxa"/>
            <w:noWrap/>
            <w:vAlign w:val="center"/>
          </w:tcPr>
          <w:p>
            <w:pPr>
              <w:spacing w:line="240" w:lineRule="auto"/>
              <w:rPr>
                <w:rFonts w:hint="eastAsia" w:ascii="宋体" w:hAnsi="宋体" w:eastAsia="宋体"/>
                <w:szCs w:val="21"/>
                <w:lang w:eastAsia="zh-CN"/>
              </w:rPr>
            </w:pPr>
            <w:r>
              <w:rPr>
                <w:rFonts w:hint="eastAsia" w:ascii="宋体" w:hAnsi="宋体"/>
                <w:szCs w:val="21"/>
              </w:rPr>
              <w:t>疑问提交时间：</w:t>
            </w:r>
            <w:r>
              <w:rPr>
                <w:rFonts w:hint="eastAsia" w:ascii="宋体" w:hAnsi="宋体"/>
                <w:szCs w:val="21"/>
                <w:u w:val="single"/>
              </w:rPr>
              <w:t>2023年</w:t>
            </w:r>
            <w:r>
              <w:rPr>
                <w:rFonts w:hint="eastAsia" w:ascii="宋体" w:hAnsi="宋体"/>
                <w:szCs w:val="21"/>
                <w:highlight w:val="none"/>
                <w:u w:val="single"/>
                <w:lang w:val="en-US" w:eastAsia="zh-CN"/>
              </w:rPr>
              <w:t>4</w:t>
            </w:r>
            <w:r>
              <w:rPr>
                <w:rFonts w:hint="eastAsia" w:ascii="宋体" w:hAnsi="宋体"/>
                <w:szCs w:val="21"/>
                <w:highlight w:val="none"/>
                <w:u w:val="single"/>
              </w:rPr>
              <w:t>月</w:t>
            </w:r>
            <w:r>
              <w:rPr>
                <w:rFonts w:hint="eastAsia" w:ascii="宋体" w:hAnsi="宋体"/>
                <w:szCs w:val="21"/>
                <w:highlight w:val="none"/>
                <w:u w:val="single"/>
                <w:lang w:val="en-US" w:eastAsia="zh-CN"/>
              </w:rPr>
              <w:t>11</w:t>
            </w:r>
            <w:r>
              <w:rPr>
                <w:rFonts w:hint="eastAsia" w:ascii="宋体" w:hAnsi="宋体"/>
                <w:szCs w:val="21"/>
                <w:highlight w:val="none"/>
                <w:u w:val="single"/>
              </w:rPr>
              <w:t>日</w:t>
            </w:r>
            <w:r>
              <w:rPr>
                <w:rFonts w:ascii="宋体" w:hAnsi="宋体"/>
                <w:szCs w:val="21"/>
                <w:highlight w:val="none"/>
                <w:u w:val="single"/>
              </w:rPr>
              <w:t>1</w:t>
            </w:r>
            <w:r>
              <w:rPr>
                <w:rFonts w:hint="eastAsia" w:ascii="宋体" w:hAnsi="宋体"/>
                <w:szCs w:val="21"/>
                <w:highlight w:val="none"/>
                <w:u w:val="single"/>
                <w:lang w:val="en-US" w:eastAsia="zh-CN"/>
              </w:rPr>
              <w:t>2:</w:t>
            </w:r>
            <w:r>
              <w:rPr>
                <w:rFonts w:hint="eastAsia" w:ascii="宋体" w:hAnsi="宋体"/>
                <w:szCs w:val="21"/>
                <w:highlight w:val="none"/>
                <w:u w:val="single"/>
              </w:rPr>
              <w:t>0</w:t>
            </w:r>
            <w:r>
              <w:rPr>
                <w:rFonts w:ascii="宋体" w:hAnsi="宋体"/>
                <w:szCs w:val="21"/>
                <w:highlight w:val="none"/>
                <w:u w:val="single"/>
              </w:rPr>
              <w:t>0</w:t>
            </w:r>
            <w:r>
              <w:rPr>
                <w:rFonts w:hint="eastAsia" w:ascii="宋体" w:hAnsi="宋体"/>
                <w:szCs w:val="21"/>
                <w:highlight w:val="none"/>
                <w:u w:val="single"/>
              </w:rPr>
              <w:t>前</w:t>
            </w:r>
            <w:r>
              <w:rPr>
                <w:rFonts w:hint="eastAsia" w:ascii="宋体" w:hAnsi="宋体"/>
                <w:szCs w:val="21"/>
                <w:highlight w:val="none"/>
                <w:u w:val="single"/>
                <w:lang w:eastAsia="zh-CN"/>
              </w:rPr>
              <w:t>。</w:t>
            </w:r>
          </w:p>
          <w:p>
            <w:pPr>
              <w:spacing w:line="240" w:lineRule="auto"/>
              <w:rPr>
                <w:rFonts w:ascii="宋体" w:hAnsi="宋体"/>
                <w:szCs w:val="21"/>
                <w:u w:val="single"/>
              </w:rPr>
            </w:pPr>
            <w:r>
              <w:rPr>
                <w:rFonts w:hint="eastAsia" w:ascii="宋体" w:hAnsi="宋体"/>
                <w:szCs w:val="21"/>
              </w:rPr>
              <w:t>形式：</w:t>
            </w:r>
            <w:r>
              <w:rPr>
                <w:rFonts w:hint="eastAsia" w:ascii="宋体" w:hAnsi="宋体"/>
                <w:szCs w:val="21"/>
                <w:u w:val="single"/>
              </w:rPr>
              <w:t>投标人的疑问通过书面形式提交到招选人。</w:t>
            </w:r>
          </w:p>
          <w:p>
            <w:pPr>
              <w:pStyle w:val="41"/>
              <w:spacing w:line="240" w:lineRule="auto"/>
              <w:ind w:firstLine="0" w:firstLineChars="0"/>
              <w:rPr>
                <w:rFonts w:ascii="宋体" w:hAnsi="宋体"/>
                <w:szCs w:val="21"/>
              </w:rPr>
            </w:pPr>
            <w:r>
              <w:rPr>
                <w:rFonts w:hint="eastAsia" w:ascii="宋体" w:hAnsi="宋体"/>
                <w:szCs w:val="21"/>
              </w:rPr>
              <w:t>招选人澄清、修补或答疑期限：</w:t>
            </w:r>
            <w:r>
              <w:rPr>
                <w:rFonts w:hint="eastAsia" w:ascii="宋体" w:hAnsi="宋体"/>
                <w:szCs w:val="21"/>
                <w:u w:val="single"/>
              </w:rPr>
              <w:t>在</w:t>
            </w:r>
            <w:r>
              <w:rPr>
                <w:rFonts w:hint="eastAsia" w:ascii="宋体" w:hAnsi="宋体"/>
                <w:szCs w:val="21"/>
                <w:u w:val="single"/>
                <w:lang w:eastAsia="zh-CN"/>
              </w:rPr>
              <w:t>提交</w:t>
            </w:r>
            <w:r>
              <w:rPr>
                <w:rFonts w:hint="eastAsia" w:ascii="宋体" w:hAnsi="宋体"/>
                <w:szCs w:val="21"/>
                <w:u w:val="single"/>
              </w:rPr>
              <w:t>投标文件截止日期前5 日</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2"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17</w:t>
            </w:r>
          </w:p>
        </w:tc>
        <w:tc>
          <w:tcPr>
            <w:tcW w:w="981"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17.1</w:t>
            </w:r>
          </w:p>
        </w:tc>
        <w:tc>
          <w:tcPr>
            <w:tcW w:w="1845" w:type="dxa"/>
            <w:noWrap/>
            <w:vAlign w:val="center"/>
          </w:tcPr>
          <w:p>
            <w:pPr>
              <w:pStyle w:val="41"/>
              <w:spacing w:line="240" w:lineRule="auto"/>
              <w:ind w:left="-46" w:leftChars="-22" w:right="-59" w:rightChars="-28" w:firstLine="0" w:firstLineChars="0"/>
              <w:jc w:val="center"/>
              <w:rPr>
                <w:rFonts w:ascii="宋体" w:hAnsi="宋体"/>
                <w:szCs w:val="21"/>
              </w:rPr>
            </w:pPr>
            <w:r>
              <w:rPr>
                <w:rFonts w:hint="eastAsia" w:ascii="宋体" w:hAnsi="宋体"/>
                <w:szCs w:val="21"/>
              </w:rPr>
              <w:t>投标文件份数</w:t>
            </w:r>
          </w:p>
        </w:tc>
        <w:tc>
          <w:tcPr>
            <w:tcW w:w="5760" w:type="dxa"/>
            <w:noWrap/>
            <w:vAlign w:val="center"/>
          </w:tcPr>
          <w:p>
            <w:pPr>
              <w:pStyle w:val="41"/>
              <w:tabs>
                <w:tab w:val="left" w:pos="360"/>
              </w:tabs>
              <w:spacing w:line="240" w:lineRule="auto"/>
              <w:ind w:firstLine="0" w:firstLineChars="0"/>
              <w:rPr>
                <w:rFonts w:hint="default" w:ascii="宋体" w:hAnsi="宋体" w:eastAsia="宋体"/>
                <w:szCs w:val="21"/>
                <w:lang w:val="en-US" w:eastAsia="zh-CN"/>
              </w:rPr>
            </w:pPr>
            <w:r>
              <w:rPr>
                <w:rFonts w:hint="eastAsia" w:ascii="宋体" w:hAnsi="宋体"/>
                <w:szCs w:val="21"/>
              </w:rPr>
              <w:t>投标文件：</w:t>
            </w:r>
            <w:r>
              <w:rPr>
                <w:rFonts w:hint="eastAsia" w:ascii="宋体" w:hAnsi="宋体"/>
                <w:szCs w:val="21"/>
                <w:lang w:val="en-US" w:eastAsia="zh-CN"/>
              </w:rPr>
              <w:t>纸质版：</w:t>
            </w:r>
            <w:r>
              <w:rPr>
                <w:rFonts w:hint="eastAsia" w:ascii="宋体" w:hAnsi="宋体"/>
                <w:szCs w:val="21"/>
              </w:rPr>
              <w:t>一份正本，</w:t>
            </w:r>
            <w:r>
              <w:rPr>
                <w:rFonts w:hint="eastAsia" w:ascii="宋体" w:hAnsi="宋体"/>
                <w:szCs w:val="21"/>
                <w:lang w:val="en-US" w:eastAsia="zh-CN"/>
              </w:rPr>
              <w:t>一</w:t>
            </w:r>
            <w:r>
              <w:rPr>
                <w:rFonts w:hint="eastAsia" w:ascii="宋体" w:hAnsi="宋体"/>
                <w:szCs w:val="21"/>
              </w:rPr>
              <w:t>份副本</w:t>
            </w:r>
            <w:r>
              <w:rPr>
                <w:rFonts w:hint="eastAsia" w:ascii="宋体" w:hAnsi="宋体"/>
                <w:szCs w:val="21"/>
                <w:lang w:eastAsia="zh-CN"/>
              </w:rPr>
              <w:t>；</w:t>
            </w:r>
            <w:r>
              <w:rPr>
                <w:rFonts w:hint="eastAsia" w:ascii="宋体" w:hAnsi="宋体"/>
                <w:szCs w:val="21"/>
              </w:rPr>
              <w:t>电子文件：一份</w:t>
            </w:r>
            <w:r>
              <w:rPr>
                <w:rFonts w:hint="eastAsia" w:ascii="宋体" w:hAnsi="宋体"/>
                <w:szCs w:val="21"/>
                <w:lang w:eastAsia="zh-CN"/>
              </w:rPr>
              <w:t>，</w:t>
            </w:r>
            <w:r>
              <w:rPr>
                <w:rFonts w:hint="eastAsia" w:ascii="宋体" w:hAnsi="宋体"/>
                <w:szCs w:val="21"/>
                <w:lang w:val="en-US" w:eastAsia="zh-CN"/>
              </w:rPr>
              <w:t>拷录USB盘。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702"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18</w:t>
            </w:r>
          </w:p>
        </w:tc>
        <w:tc>
          <w:tcPr>
            <w:tcW w:w="981"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19.1</w:t>
            </w:r>
          </w:p>
        </w:tc>
        <w:tc>
          <w:tcPr>
            <w:tcW w:w="1845" w:type="dxa"/>
            <w:noWrap/>
            <w:vAlign w:val="center"/>
          </w:tcPr>
          <w:p>
            <w:pPr>
              <w:pStyle w:val="41"/>
              <w:spacing w:line="240" w:lineRule="auto"/>
              <w:ind w:left="-46" w:leftChars="-22" w:right="-59" w:rightChars="-28" w:firstLine="0" w:firstLineChars="0"/>
              <w:jc w:val="center"/>
              <w:rPr>
                <w:rFonts w:ascii="宋体" w:hAnsi="宋体"/>
                <w:szCs w:val="21"/>
              </w:rPr>
            </w:pPr>
            <w:r>
              <w:rPr>
                <w:rFonts w:hint="eastAsia" w:ascii="宋体" w:hAnsi="宋体"/>
                <w:szCs w:val="21"/>
              </w:rPr>
              <w:t>投标文件提交及截止地点和时间</w:t>
            </w:r>
          </w:p>
        </w:tc>
        <w:tc>
          <w:tcPr>
            <w:tcW w:w="5760" w:type="dxa"/>
            <w:noWrap/>
            <w:vAlign w:val="center"/>
          </w:tcPr>
          <w:p>
            <w:pPr>
              <w:widowControl/>
              <w:spacing w:line="240" w:lineRule="auto"/>
              <w:rPr>
                <w:highlight w:val="none"/>
              </w:rPr>
            </w:pPr>
            <w:r>
              <w:rPr>
                <w:rFonts w:hint="eastAsia"/>
                <w:highlight w:val="none"/>
              </w:rPr>
              <w:t>收件人：广州市城投资产经营管理有限公司珠江新城分公司</w:t>
            </w:r>
          </w:p>
          <w:p>
            <w:pPr>
              <w:widowControl/>
              <w:spacing w:line="240" w:lineRule="auto"/>
              <w:rPr>
                <w:highlight w:val="none"/>
              </w:rPr>
            </w:pPr>
            <w:r>
              <w:rPr>
                <w:rFonts w:hint="eastAsia"/>
                <w:highlight w:val="none"/>
              </w:rPr>
              <w:t>提交地点：广州市天河区临江大道海心沙亚运看台6楼</w:t>
            </w:r>
          </w:p>
          <w:p>
            <w:pPr>
              <w:widowControl/>
              <w:spacing w:line="240" w:lineRule="auto"/>
              <w:rPr>
                <w:rFonts w:hint="eastAsia" w:eastAsia="宋体"/>
                <w:highlight w:val="none"/>
                <w:lang w:val="en-US" w:eastAsia="zh-CN"/>
              </w:rPr>
            </w:pPr>
            <w:r>
              <w:rPr>
                <w:rFonts w:hint="eastAsia"/>
                <w:highlight w:val="none"/>
              </w:rPr>
              <w:t>投标文件提交时间：</w:t>
            </w:r>
            <w:r>
              <w:rPr>
                <w:rFonts w:hint="eastAsia" w:ascii="宋体" w:hAnsi="宋体"/>
                <w:highlight w:val="none"/>
                <w:u w:val="single"/>
              </w:rPr>
              <w:t>2023年</w:t>
            </w:r>
            <w:r>
              <w:rPr>
                <w:rFonts w:hint="eastAsia" w:ascii="宋体" w:hAnsi="宋体"/>
                <w:highlight w:val="none"/>
                <w:u w:val="single"/>
                <w:lang w:val="en-US" w:eastAsia="zh-CN"/>
              </w:rPr>
              <w:t>4</w:t>
            </w:r>
            <w:r>
              <w:rPr>
                <w:rFonts w:hint="eastAsia" w:ascii="宋体" w:hAnsi="宋体"/>
                <w:highlight w:val="none"/>
                <w:u w:val="single"/>
              </w:rPr>
              <w:t>月</w:t>
            </w:r>
            <w:r>
              <w:rPr>
                <w:rFonts w:hint="eastAsia" w:ascii="宋体" w:hAnsi="宋体"/>
                <w:highlight w:val="none"/>
                <w:u w:val="single"/>
                <w:lang w:val="en-US" w:eastAsia="zh-CN"/>
              </w:rPr>
              <w:t>17</w:t>
            </w:r>
            <w:r>
              <w:rPr>
                <w:rFonts w:hint="eastAsia" w:ascii="宋体" w:hAnsi="宋体"/>
                <w:highlight w:val="none"/>
                <w:u w:val="single"/>
              </w:rPr>
              <w:t>日</w:t>
            </w:r>
            <w:r>
              <w:rPr>
                <w:rFonts w:hint="eastAsia" w:ascii="宋体" w:hAnsi="宋体"/>
                <w:highlight w:val="none"/>
                <w:u w:val="single"/>
                <w:lang w:val="en-US" w:eastAsia="zh-CN"/>
              </w:rPr>
              <w:t>9:</w:t>
            </w:r>
            <w:r>
              <w:rPr>
                <w:rFonts w:ascii="宋体" w:hAnsi="宋体"/>
                <w:highlight w:val="none"/>
                <w:u w:val="single"/>
              </w:rPr>
              <w:t>00</w:t>
            </w:r>
            <w:r>
              <w:rPr>
                <w:rFonts w:hint="eastAsia" w:ascii="宋体" w:hAnsi="宋体" w:eastAsia="宋体" w:cs="宋体"/>
                <w:highlight w:val="none"/>
                <w:u w:val="single"/>
              </w:rPr>
              <w:t>～</w:t>
            </w:r>
            <w:r>
              <w:rPr>
                <w:rFonts w:hint="eastAsia" w:ascii="宋体" w:hAnsi="宋体"/>
                <w:highlight w:val="none"/>
                <w:u w:val="single"/>
                <w:lang w:val="en-US" w:eastAsia="zh-CN"/>
              </w:rPr>
              <w:t>9:3</w:t>
            </w:r>
            <w:r>
              <w:rPr>
                <w:rFonts w:ascii="宋体" w:hAnsi="宋体"/>
                <w:highlight w:val="none"/>
                <w:u w:val="single"/>
              </w:rPr>
              <w:t>0</w:t>
            </w:r>
          </w:p>
          <w:p>
            <w:pPr>
              <w:pStyle w:val="41"/>
              <w:spacing w:line="240" w:lineRule="auto"/>
              <w:ind w:firstLine="0" w:firstLineChars="0"/>
              <w:rPr>
                <w:rFonts w:ascii="宋体" w:hAnsi="宋体"/>
                <w:b/>
                <w:szCs w:val="21"/>
                <w:highlight w:val="none"/>
              </w:rPr>
            </w:pPr>
            <w:r>
              <w:rPr>
                <w:rFonts w:hint="eastAsia" w:ascii="宋体" w:hAnsi="宋体"/>
                <w:b/>
                <w:bCs/>
                <w:szCs w:val="21"/>
                <w:highlight w:val="none"/>
              </w:rPr>
              <w:t>投标人的法定代表人或其有效授权委托人须凭</w:t>
            </w:r>
            <w:r>
              <w:rPr>
                <w:rFonts w:hint="eastAsia" w:ascii="宋体" w:hAnsi="宋体"/>
                <w:b/>
                <w:bCs/>
                <w:szCs w:val="21"/>
                <w:highlight w:val="none"/>
                <w:lang w:eastAsia="zh-CN"/>
              </w:rPr>
              <w:t>：</w:t>
            </w:r>
            <w:r>
              <w:rPr>
                <w:rFonts w:hint="eastAsia" w:ascii="宋体" w:hAnsi="宋体"/>
                <w:b/>
                <w:bCs/>
                <w:szCs w:val="21"/>
                <w:highlight w:val="none"/>
              </w:rPr>
              <w:t>法定代表人证明书（原件）、法人授权委托证明书（原件，授权代理人提交文件时使用）及</w:t>
            </w:r>
            <w:r>
              <w:rPr>
                <w:rFonts w:hint="eastAsia" w:ascii="宋体" w:hAnsi="宋体"/>
                <w:b/>
                <w:bCs/>
                <w:szCs w:val="21"/>
                <w:highlight w:val="none"/>
                <w:lang w:val="en-US" w:eastAsia="zh-CN"/>
              </w:rPr>
              <w:t>提交人</w:t>
            </w:r>
            <w:r>
              <w:rPr>
                <w:rFonts w:hint="eastAsia" w:ascii="宋体" w:hAnsi="宋体"/>
                <w:b/>
                <w:bCs/>
                <w:szCs w:val="21"/>
                <w:highlight w:val="none"/>
              </w:rPr>
              <w:t>本人身份证（原件）提交投标文件，否则其投标文件不被招选人接收。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02"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19</w:t>
            </w:r>
          </w:p>
        </w:tc>
        <w:tc>
          <w:tcPr>
            <w:tcW w:w="981"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24.1</w:t>
            </w:r>
          </w:p>
        </w:tc>
        <w:tc>
          <w:tcPr>
            <w:tcW w:w="1845"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开标</w:t>
            </w:r>
          </w:p>
        </w:tc>
        <w:tc>
          <w:tcPr>
            <w:tcW w:w="5760" w:type="dxa"/>
            <w:noWrap/>
            <w:vAlign w:val="center"/>
          </w:tcPr>
          <w:p>
            <w:pPr>
              <w:widowControl/>
              <w:spacing w:line="240" w:lineRule="auto"/>
              <w:rPr>
                <w:highlight w:val="none"/>
              </w:rPr>
            </w:pPr>
            <w:r>
              <w:rPr>
                <w:rFonts w:hint="eastAsia"/>
                <w:highlight w:val="none"/>
              </w:rPr>
              <w:t>开标时间：</w:t>
            </w:r>
            <w:r>
              <w:rPr>
                <w:rFonts w:hint="eastAsia" w:ascii="宋体" w:hAnsi="宋体"/>
                <w:highlight w:val="none"/>
                <w:u w:val="single"/>
              </w:rPr>
              <w:t>2023年</w:t>
            </w:r>
            <w:r>
              <w:rPr>
                <w:rFonts w:hint="eastAsia" w:ascii="宋体" w:hAnsi="宋体"/>
                <w:highlight w:val="none"/>
                <w:u w:val="single"/>
                <w:lang w:val="en-US" w:eastAsia="zh-CN"/>
              </w:rPr>
              <w:t>4</w:t>
            </w:r>
            <w:r>
              <w:rPr>
                <w:rFonts w:hint="eastAsia" w:ascii="宋体" w:hAnsi="宋体"/>
                <w:highlight w:val="none"/>
                <w:u w:val="single"/>
              </w:rPr>
              <w:t>月</w:t>
            </w:r>
            <w:r>
              <w:rPr>
                <w:rFonts w:hint="eastAsia" w:ascii="宋体" w:hAnsi="宋体"/>
                <w:highlight w:val="none"/>
                <w:u w:val="single"/>
                <w:lang w:val="en-US" w:eastAsia="zh-CN"/>
              </w:rPr>
              <w:t>17</w:t>
            </w:r>
            <w:r>
              <w:rPr>
                <w:rFonts w:hint="eastAsia" w:ascii="宋体" w:hAnsi="宋体"/>
                <w:highlight w:val="none"/>
                <w:u w:val="single"/>
              </w:rPr>
              <w:t>日</w:t>
            </w:r>
            <w:r>
              <w:rPr>
                <w:rFonts w:hint="eastAsia" w:ascii="宋体" w:hAnsi="宋体"/>
                <w:highlight w:val="none"/>
                <w:u w:val="single"/>
                <w:lang w:val="en-US" w:eastAsia="zh-CN"/>
              </w:rPr>
              <w:t>10:0</w:t>
            </w:r>
            <w:r>
              <w:rPr>
                <w:rFonts w:ascii="宋体" w:hAnsi="宋体"/>
                <w:highlight w:val="none"/>
                <w:u w:val="single"/>
              </w:rPr>
              <w:t>0</w:t>
            </w:r>
          </w:p>
          <w:p>
            <w:pPr>
              <w:widowControl/>
              <w:spacing w:line="240" w:lineRule="auto"/>
              <w:rPr>
                <w:rFonts w:ascii="宋体" w:hAnsi="宋体"/>
                <w:b/>
                <w:spacing w:val="-4"/>
                <w:szCs w:val="21"/>
                <w:highlight w:val="none"/>
              </w:rPr>
            </w:pPr>
            <w:r>
              <w:rPr>
                <w:rFonts w:hint="eastAsia"/>
                <w:highlight w:val="none"/>
              </w:rPr>
              <w:t>地点：</w:t>
            </w:r>
            <w:r>
              <w:rPr>
                <w:rFonts w:hint="eastAsia"/>
                <w:highlight w:val="none"/>
                <w:u w:val="single"/>
              </w:rPr>
              <w:t>广州市天河区临江大道海心沙亚运看台6楼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02"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20</w:t>
            </w:r>
          </w:p>
        </w:tc>
        <w:tc>
          <w:tcPr>
            <w:tcW w:w="981"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28.3</w:t>
            </w:r>
          </w:p>
        </w:tc>
        <w:tc>
          <w:tcPr>
            <w:tcW w:w="1845"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评选方法</w:t>
            </w:r>
          </w:p>
        </w:tc>
        <w:tc>
          <w:tcPr>
            <w:tcW w:w="5760" w:type="dxa"/>
            <w:noWrap/>
            <w:vAlign w:val="center"/>
          </w:tcPr>
          <w:p>
            <w:pPr>
              <w:pStyle w:val="41"/>
              <w:spacing w:line="240" w:lineRule="auto"/>
              <w:ind w:firstLine="0" w:firstLineChars="0"/>
              <w:rPr>
                <w:rFonts w:ascii="宋体" w:hAnsi="宋体"/>
                <w:szCs w:val="21"/>
              </w:rPr>
            </w:pPr>
            <w:r>
              <w:rPr>
                <w:rFonts w:hint="eastAsia" w:ascii="宋体" w:hAnsi="宋体"/>
                <w:szCs w:val="21"/>
              </w:rPr>
              <w:t>百分制综合评分评选法。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02" w:type="dxa"/>
            <w:noWrap/>
            <w:vAlign w:val="center"/>
          </w:tcPr>
          <w:p>
            <w:pPr>
              <w:pStyle w:val="41"/>
              <w:spacing w:line="240" w:lineRule="auto"/>
              <w:ind w:left="-61" w:leftChars="-29" w:right="-59" w:rightChars="-28" w:firstLine="0" w:firstLineChars="0"/>
              <w:jc w:val="center"/>
              <w:rPr>
                <w:rFonts w:ascii="宋体" w:hAnsi="宋体"/>
                <w:szCs w:val="21"/>
              </w:rPr>
            </w:pPr>
            <w:r>
              <w:rPr>
                <w:rFonts w:hint="eastAsia" w:ascii="宋体" w:hAnsi="宋体"/>
                <w:szCs w:val="21"/>
              </w:rPr>
              <w:t>21</w:t>
            </w:r>
          </w:p>
        </w:tc>
        <w:tc>
          <w:tcPr>
            <w:tcW w:w="981" w:type="dxa"/>
            <w:noWrap/>
            <w:vAlign w:val="center"/>
          </w:tcPr>
          <w:p>
            <w:pPr>
              <w:pStyle w:val="41"/>
              <w:spacing w:line="240" w:lineRule="auto"/>
              <w:ind w:left="-61" w:leftChars="-29" w:right="-59" w:rightChars="-28" w:firstLine="0" w:firstLineChars="0"/>
              <w:jc w:val="center"/>
              <w:rPr>
                <w:rFonts w:ascii="宋体" w:hAnsi="宋体"/>
                <w:szCs w:val="21"/>
              </w:rPr>
            </w:pPr>
            <w:r>
              <w:rPr>
                <w:rFonts w:hint="eastAsia" w:ascii="宋体" w:hAnsi="宋体"/>
                <w:szCs w:val="21"/>
              </w:rPr>
              <w:t>34.1</w:t>
            </w:r>
          </w:p>
        </w:tc>
        <w:tc>
          <w:tcPr>
            <w:tcW w:w="1845" w:type="dxa"/>
            <w:noWrap/>
            <w:vAlign w:val="center"/>
          </w:tcPr>
          <w:p>
            <w:pPr>
              <w:pStyle w:val="41"/>
              <w:spacing w:line="240" w:lineRule="auto"/>
              <w:ind w:left="-61" w:leftChars="-29" w:right="-59" w:rightChars="-28" w:firstLine="0" w:firstLineChars="0"/>
              <w:jc w:val="center"/>
              <w:rPr>
                <w:rFonts w:ascii="宋体" w:hAnsi="宋体"/>
                <w:szCs w:val="21"/>
              </w:rPr>
            </w:pPr>
            <w:r>
              <w:rPr>
                <w:rFonts w:hint="eastAsia" w:ascii="宋体" w:hAnsi="宋体"/>
                <w:szCs w:val="21"/>
              </w:rPr>
              <w:t>履约保证金额</w:t>
            </w:r>
          </w:p>
        </w:tc>
        <w:tc>
          <w:tcPr>
            <w:tcW w:w="5760" w:type="dxa"/>
            <w:noWrap/>
            <w:vAlign w:val="center"/>
          </w:tcPr>
          <w:p>
            <w:pPr>
              <w:pStyle w:val="41"/>
              <w:spacing w:line="240" w:lineRule="auto"/>
              <w:ind w:firstLine="0" w:firstLineChars="0"/>
              <w:rPr>
                <w:rFonts w:ascii="宋体" w:hAnsi="宋体"/>
                <w:szCs w:val="21"/>
              </w:rPr>
            </w:pPr>
            <w:r>
              <w:rPr>
                <w:rFonts w:hint="eastAsia" w:ascii="宋体" w:hAnsi="宋体"/>
                <w:szCs w:val="21"/>
              </w:rPr>
              <w:t>本项目不需要履约保证金。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02"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22</w:t>
            </w:r>
          </w:p>
        </w:tc>
        <w:tc>
          <w:tcPr>
            <w:tcW w:w="981" w:type="dxa"/>
            <w:noWrap/>
            <w:vAlign w:val="center"/>
          </w:tcPr>
          <w:p>
            <w:pPr>
              <w:pStyle w:val="41"/>
              <w:spacing w:line="240" w:lineRule="auto"/>
              <w:ind w:firstLine="0" w:firstLineChars="0"/>
              <w:jc w:val="center"/>
              <w:rPr>
                <w:rFonts w:ascii="宋体" w:hAnsi="宋体"/>
                <w:szCs w:val="21"/>
              </w:rPr>
            </w:pPr>
          </w:p>
        </w:tc>
        <w:tc>
          <w:tcPr>
            <w:tcW w:w="1845" w:type="dxa"/>
            <w:noWrap/>
            <w:vAlign w:val="center"/>
          </w:tcPr>
          <w:p>
            <w:pPr>
              <w:pStyle w:val="41"/>
              <w:spacing w:line="240" w:lineRule="auto"/>
              <w:ind w:firstLine="0" w:firstLineChars="0"/>
              <w:jc w:val="center"/>
              <w:rPr>
                <w:rFonts w:ascii="宋体" w:hAnsi="宋体"/>
                <w:szCs w:val="21"/>
              </w:rPr>
            </w:pPr>
            <w:r>
              <w:rPr>
                <w:rFonts w:hint="eastAsia" w:ascii="宋体" w:hAnsi="宋体"/>
                <w:szCs w:val="21"/>
              </w:rPr>
              <w:t>其他</w:t>
            </w:r>
          </w:p>
        </w:tc>
        <w:tc>
          <w:tcPr>
            <w:tcW w:w="5760" w:type="dxa"/>
            <w:noWrap/>
            <w:vAlign w:val="center"/>
          </w:tcPr>
          <w:p>
            <w:pPr>
              <w:spacing w:line="240" w:lineRule="auto"/>
              <w:ind w:left="420" w:leftChars="0" w:hanging="420" w:hangingChars="200"/>
              <w:rPr>
                <w:rFonts w:ascii="宋体" w:hAnsi="宋体"/>
                <w:szCs w:val="21"/>
              </w:rPr>
            </w:pPr>
            <w:r>
              <w:rPr>
                <w:rFonts w:hint="eastAsia" w:ascii="宋体" w:hAnsi="宋体"/>
                <w:szCs w:val="21"/>
                <w:lang w:eastAsia="zh-CN"/>
              </w:rPr>
              <w:t>（</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投标文件语言：汉语。</w:t>
            </w:r>
          </w:p>
          <w:p>
            <w:pPr>
              <w:spacing w:line="240" w:lineRule="auto"/>
              <w:ind w:left="420" w:leftChars="0" w:hanging="420" w:hangingChars="200"/>
              <w:rPr>
                <w:rFonts w:ascii="宋体" w:hAnsi="宋体"/>
                <w:szCs w:val="21"/>
              </w:rPr>
            </w:pP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本次招选包括招选公告、资格审查、</w:t>
            </w:r>
            <w:r>
              <w:rPr>
                <w:rFonts w:hint="eastAsia" w:ascii="宋体" w:hAnsi="宋体"/>
                <w:szCs w:val="21"/>
                <w:lang w:val="en-US" w:eastAsia="zh-CN"/>
              </w:rPr>
              <w:t>提交</w:t>
            </w:r>
            <w:r>
              <w:rPr>
                <w:rFonts w:hint="eastAsia" w:ascii="宋体" w:hAnsi="宋体"/>
                <w:szCs w:val="21"/>
              </w:rPr>
              <w:t>标书、开标评选、发中选通知书、签订合同5个阶段。</w:t>
            </w:r>
          </w:p>
          <w:p>
            <w:pPr>
              <w:spacing w:line="240" w:lineRule="auto"/>
              <w:ind w:left="420" w:leftChars="0" w:hanging="420" w:hangingChars="200"/>
              <w:rPr>
                <w:rFonts w:ascii="宋体" w:hAnsi="宋体"/>
                <w:szCs w:val="21"/>
              </w:rPr>
            </w:pPr>
            <w:r>
              <w:rPr>
                <w:rFonts w:hint="eastAsia" w:ascii="宋体" w:hAnsi="宋体"/>
                <w:szCs w:val="21"/>
                <w:lang w:eastAsia="zh-CN"/>
              </w:rPr>
              <w:t>（</w:t>
            </w: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领取中选通知书时须同时携带介绍信（或授权委托书）及本人身份证原件及复印件。</w:t>
            </w:r>
          </w:p>
        </w:tc>
      </w:tr>
    </w:tbl>
    <w:p>
      <w:pPr>
        <w:pStyle w:val="41"/>
        <w:ind w:firstLine="240"/>
        <w:rPr>
          <w:rFonts w:ascii="宋体" w:hAnsi="宋体"/>
          <w:sz w:val="24"/>
        </w:rPr>
      </w:pPr>
      <w:r>
        <w:rPr>
          <w:rFonts w:hint="eastAsia" w:ascii="宋体" w:hAnsi="宋体"/>
          <w:sz w:val="24"/>
        </w:rPr>
        <w:t>注：■—本工程适用的项目选项；□—非本工程适用的项目选项。</w:t>
      </w:r>
    </w:p>
    <w:p>
      <w:pPr>
        <w:pStyle w:val="3"/>
        <w:jc w:val="center"/>
        <w:rPr>
          <w:rFonts w:ascii="宋体" w:hAnsi="宋体" w:cs="宋体"/>
        </w:rPr>
      </w:pPr>
      <w:bookmarkStart w:id="4" w:name="_Toc27211"/>
      <w:bookmarkStart w:id="5" w:name="_Toc2224"/>
      <w:bookmarkStart w:id="6" w:name="_Toc499060868"/>
      <w:r>
        <w:rPr>
          <w:rFonts w:hint="eastAsia" w:ascii="宋体" w:hAnsi="宋体" w:cs="宋体"/>
        </w:rPr>
        <w:t>第一章  投标须知</w:t>
      </w:r>
      <w:bookmarkEnd w:id="4"/>
      <w:bookmarkEnd w:id="5"/>
      <w:bookmarkEnd w:id="6"/>
    </w:p>
    <w:p>
      <w:pPr>
        <w:pStyle w:val="2"/>
        <w:pageBreakBefore w:val="0"/>
        <w:widowControl w:val="0"/>
        <w:kinsoku/>
        <w:wordWrap/>
        <w:overflowPunct/>
        <w:topLinePunct w:val="0"/>
        <w:autoSpaceDE/>
        <w:autoSpaceDN/>
        <w:bidi w:val="0"/>
        <w:adjustRightInd/>
        <w:spacing w:line="360" w:lineRule="auto"/>
        <w:ind w:firstLine="420"/>
        <w:textAlignment w:val="auto"/>
        <w:rPr>
          <w:rFonts w:ascii="宋体" w:hAnsi="宋体" w:eastAsia="宋体" w:cs="宋体"/>
        </w:rPr>
      </w:pPr>
      <w:bookmarkStart w:id="7" w:name="_Toc25672"/>
      <w:bookmarkStart w:id="8" w:name="_Toc499060869"/>
      <w:bookmarkStart w:id="9" w:name="_Toc360"/>
      <w:bookmarkStart w:id="10" w:name="_Toc1930"/>
      <w:bookmarkStart w:id="11" w:name="_Toc30861"/>
      <w:r>
        <w:rPr>
          <w:rFonts w:hint="eastAsia" w:ascii="宋体" w:hAnsi="宋体" w:eastAsia="宋体" w:cs="宋体"/>
        </w:rPr>
        <w:t>（一）总则</w:t>
      </w:r>
      <w:bookmarkEnd w:id="7"/>
      <w:bookmarkEnd w:id="8"/>
      <w:bookmarkEnd w:id="9"/>
      <w:bookmarkEnd w:id="10"/>
      <w:bookmarkEnd w:id="11"/>
    </w:p>
    <w:p>
      <w:pPr>
        <w:pStyle w:val="41"/>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bCs/>
          <w:sz w:val="24"/>
        </w:rPr>
      </w:pPr>
      <w:r>
        <w:rPr>
          <w:rFonts w:hint="eastAsia" w:ascii="宋体" w:hAnsi="宋体"/>
          <w:b/>
          <w:bCs/>
          <w:sz w:val="24"/>
        </w:rPr>
        <w:t>1</w:t>
      </w:r>
      <w:r>
        <w:rPr>
          <w:rFonts w:hint="eastAsia" w:ascii="宋体" w:hAnsi="宋体"/>
          <w:b/>
          <w:sz w:val="24"/>
        </w:rPr>
        <w:t>．</w:t>
      </w:r>
      <w:r>
        <w:rPr>
          <w:rFonts w:hint="eastAsia" w:ascii="宋体" w:hAnsi="宋体"/>
          <w:b/>
          <w:bCs/>
          <w:sz w:val="24"/>
        </w:rPr>
        <w:t>定义</w:t>
      </w:r>
    </w:p>
    <w:p>
      <w:pPr>
        <w:pStyle w:val="41"/>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b/>
          <w:bCs/>
          <w:sz w:val="24"/>
        </w:rPr>
      </w:pPr>
      <w:r>
        <w:rPr>
          <w:rFonts w:hint="eastAsia" w:ascii="宋体" w:hAnsi="宋体"/>
          <w:sz w:val="24"/>
        </w:rPr>
        <w:t>本招选文件使用的下列词语具有如下规定的意义：</w:t>
      </w:r>
    </w:p>
    <w:p>
      <w:pPr>
        <w:pStyle w:val="41"/>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b/>
          <w:bCs/>
          <w:sz w:val="24"/>
          <w:u w:val="single"/>
        </w:rPr>
      </w:pPr>
      <w:r>
        <w:rPr>
          <w:rFonts w:hint="eastAsia" w:ascii="宋体" w:hAnsi="宋体"/>
          <w:sz w:val="24"/>
        </w:rPr>
        <w:t>1.1“招选人”（即委托人）指</w:t>
      </w:r>
      <w:r>
        <w:rPr>
          <w:rFonts w:hint="eastAsia" w:ascii="宋体" w:hAnsi="宋体"/>
          <w:sz w:val="24"/>
          <w:u w:val="single"/>
        </w:rPr>
        <w:t>广州市城投资产经营管理有限公司珠江新城分公司</w:t>
      </w:r>
      <w:r>
        <w:rPr>
          <w:rFonts w:hint="eastAsia" w:ascii="宋体" w:hAnsi="宋体"/>
          <w:sz w:val="24"/>
        </w:rPr>
        <w:t>。</w:t>
      </w:r>
    </w:p>
    <w:p>
      <w:pPr>
        <w:pStyle w:val="41"/>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1.2“投标人”指向招选人提交投标文件的当事人。</w:t>
      </w:r>
    </w:p>
    <w:p>
      <w:pPr>
        <w:pStyle w:val="41"/>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1.3“承包商”指被招选人接受并与其签订工程承包合同的当事人；</w:t>
      </w:r>
    </w:p>
    <w:p>
      <w:pPr>
        <w:pageBreakBefore w:val="0"/>
        <w:widowControl w:val="0"/>
        <w:kinsoku/>
        <w:wordWrap/>
        <w:overflowPunct/>
        <w:topLinePunct w:val="0"/>
        <w:autoSpaceDE/>
        <w:autoSpaceDN/>
        <w:bidi w:val="0"/>
        <w:adjustRightInd/>
        <w:spacing w:line="360" w:lineRule="auto"/>
        <w:ind w:left="-1" w:right="56" w:firstLine="480" w:firstLineChars="200"/>
        <w:textAlignment w:val="auto"/>
        <w:rPr>
          <w:rFonts w:ascii="宋体" w:hAnsi="宋体"/>
          <w:sz w:val="24"/>
        </w:rPr>
      </w:pPr>
      <w:r>
        <w:rPr>
          <w:rFonts w:hint="eastAsia" w:ascii="宋体" w:hAnsi="宋体"/>
          <w:sz w:val="24"/>
        </w:rPr>
        <w:t>1.4“招选文件”指由招选代理发出的本文件（包括全部章节、附件）及澄清补充文件。</w:t>
      </w:r>
    </w:p>
    <w:p>
      <w:pPr>
        <w:pStyle w:val="41"/>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1.5“投标文件”指投标人根据本招选文件向招选人提交的全部文件。</w:t>
      </w:r>
    </w:p>
    <w:p>
      <w:pPr>
        <w:pStyle w:val="41"/>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1.6“书面函件”指打字或印刷的函件，包括电传、电报和传真。</w:t>
      </w:r>
    </w:p>
    <w:p>
      <w:pPr>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sz w:val="24"/>
        </w:rPr>
      </w:pPr>
      <w:r>
        <w:rPr>
          <w:rFonts w:hint="eastAsia" w:ascii="宋体" w:hAnsi="宋体"/>
          <w:b/>
          <w:sz w:val="24"/>
        </w:rPr>
        <w:t>2．招选说明</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bCs/>
          <w:sz w:val="24"/>
        </w:rPr>
      </w:pPr>
      <w:r>
        <w:rPr>
          <w:rFonts w:hint="eastAsia" w:ascii="宋体" w:hAnsi="宋体"/>
          <w:bCs/>
          <w:sz w:val="24"/>
        </w:rPr>
        <w:t>2.1本招选项目按照《中华人民共和国招标投标法》等有关法律、行政法规和部门规章，采取公开招选的办法，以便能选择有经验、有实力、社会信誉好的监理单位承担监理服务，确保本工程能按期、优质、经济地建成。</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bCs/>
          <w:sz w:val="24"/>
        </w:rPr>
      </w:pPr>
      <w:r>
        <w:rPr>
          <w:rFonts w:hint="eastAsia" w:ascii="宋体" w:hAnsi="宋体"/>
          <w:bCs/>
          <w:sz w:val="24"/>
        </w:rPr>
        <w:t>2.2工程概况</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bCs/>
          <w:sz w:val="24"/>
        </w:rPr>
      </w:pPr>
      <w:r>
        <w:rPr>
          <w:rFonts w:hint="eastAsia" w:ascii="宋体" w:hAnsi="宋体"/>
          <w:bCs/>
          <w:sz w:val="24"/>
        </w:rPr>
        <w:t>2.2.1工程名称：见投标须知前附表第1项。</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bCs/>
          <w:sz w:val="24"/>
        </w:rPr>
      </w:pPr>
      <w:r>
        <w:rPr>
          <w:rFonts w:hint="eastAsia" w:ascii="宋体" w:hAnsi="宋体"/>
          <w:sz w:val="24"/>
        </w:rPr>
        <w:t>2.2.2建设地点：</w:t>
      </w:r>
      <w:r>
        <w:rPr>
          <w:rFonts w:hint="eastAsia" w:ascii="宋体" w:hAnsi="宋体"/>
          <w:bCs/>
          <w:sz w:val="24"/>
        </w:rPr>
        <w:t>见投标须知前附表第2项。</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bCs/>
          <w:sz w:val="24"/>
        </w:rPr>
      </w:pPr>
      <w:r>
        <w:rPr>
          <w:rFonts w:hint="eastAsia" w:ascii="宋体" w:hAnsi="宋体"/>
          <w:bCs/>
          <w:sz w:val="24"/>
        </w:rPr>
        <w:t>2.2.3建设规模：见投标须知前附表第3项。</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bCs/>
          <w:sz w:val="24"/>
        </w:rPr>
        <w:t>2.2.4</w:t>
      </w:r>
      <w:r>
        <w:rPr>
          <w:rFonts w:hint="eastAsia" w:ascii="宋体" w:hAnsi="宋体"/>
          <w:sz w:val="24"/>
        </w:rPr>
        <w:t>工程预算：</w:t>
      </w:r>
      <w:r>
        <w:rPr>
          <w:rFonts w:hint="eastAsia" w:ascii="宋体" w:hAnsi="宋体"/>
          <w:bCs/>
          <w:sz w:val="24"/>
        </w:rPr>
        <w:t>见投标须知前附表第4项。</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bCs/>
          <w:sz w:val="24"/>
        </w:rPr>
      </w:pPr>
      <w:r>
        <w:rPr>
          <w:rFonts w:hint="eastAsia" w:ascii="宋体" w:hAnsi="宋体"/>
          <w:sz w:val="24"/>
        </w:rPr>
        <w:t>2.2.5监理目标：</w:t>
      </w:r>
      <w:r>
        <w:rPr>
          <w:rFonts w:hint="eastAsia" w:ascii="宋体" w:hAnsi="宋体"/>
          <w:bCs/>
          <w:sz w:val="24"/>
        </w:rPr>
        <w:t>见投标须知前附表第5项。</w:t>
      </w:r>
    </w:p>
    <w:p>
      <w:pPr>
        <w:pageBreakBefore w:val="0"/>
        <w:widowControl w:val="0"/>
        <w:tabs>
          <w:tab w:val="left" w:pos="105"/>
        </w:tabs>
        <w:kinsoku/>
        <w:wordWrap/>
        <w:overflowPunct/>
        <w:topLinePunct w:val="0"/>
        <w:autoSpaceDE/>
        <w:autoSpaceDN/>
        <w:bidi w:val="0"/>
        <w:adjustRightInd/>
        <w:spacing w:line="360" w:lineRule="auto"/>
        <w:ind w:left="-1" w:firstLine="480" w:firstLineChars="200"/>
        <w:textAlignment w:val="auto"/>
        <w:rPr>
          <w:rFonts w:ascii="宋体" w:hAnsi="宋体"/>
          <w:bCs/>
          <w:sz w:val="24"/>
        </w:rPr>
      </w:pPr>
      <w:r>
        <w:rPr>
          <w:rFonts w:hint="eastAsia" w:ascii="宋体" w:hAnsi="宋体"/>
          <w:bCs/>
          <w:sz w:val="24"/>
        </w:rPr>
        <w:t>2.3招选范围及监理服务期及监理专业配套要求</w:t>
      </w:r>
    </w:p>
    <w:p>
      <w:pPr>
        <w:pageBreakBefore w:val="0"/>
        <w:widowControl w:val="0"/>
        <w:tabs>
          <w:tab w:val="left" w:pos="105"/>
        </w:tabs>
        <w:kinsoku/>
        <w:wordWrap/>
        <w:overflowPunct/>
        <w:topLinePunct w:val="0"/>
        <w:autoSpaceDE/>
        <w:autoSpaceDN/>
        <w:bidi w:val="0"/>
        <w:adjustRightInd/>
        <w:spacing w:line="360" w:lineRule="auto"/>
        <w:ind w:left="-1" w:firstLine="480" w:firstLineChars="200"/>
        <w:textAlignment w:val="auto"/>
        <w:rPr>
          <w:rFonts w:ascii="宋体" w:hAnsi="宋体"/>
          <w:bCs/>
          <w:sz w:val="24"/>
        </w:rPr>
      </w:pPr>
      <w:r>
        <w:rPr>
          <w:rFonts w:hint="eastAsia" w:ascii="宋体" w:hAnsi="宋体"/>
          <w:bCs/>
          <w:sz w:val="24"/>
        </w:rPr>
        <w:t>2.3.1 本招选项目的监理范围：见投标须知前附表第6项。</w:t>
      </w:r>
    </w:p>
    <w:p>
      <w:pPr>
        <w:pageBreakBefore w:val="0"/>
        <w:widowControl w:val="0"/>
        <w:tabs>
          <w:tab w:val="left" w:pos="105"/>
        </w:tabs>
        <w:kinsoku/>
        <w:wordWrap/>
        <w:overflowPunct/>
        <w:topLinePunct w:val="0"/>
        <w:autoSpaceDE/>
        <w:autoSpaceDN/>
        <w:bidi w:val="0"/>
        <w:adjustRightInd/>
        <w:spacing w:line="360" w:lineRule="auto"/>
        <w:ind w:left="-1" w:firstLine="480" w:firstLineChars="200"/>
        <w:textAlignment w:val="auto"/>
        <w:rPr>
          <w:rFonts w:ascii="宋体" w:hAnsi="宋体"/>
          <w:bCs/>
          <w:sz w:val="24"/>
        </w:rPr>
      </w:pPr>
      <w:r>
        <w:rPr>
          <w:rFonts w:hint="eastAsia" w:ascii="宋体" w:hAnsi="宋体"/>
          <w:bCs/>
          <w:sz w:val="24"/>
        </w:rPr>
        <w:t>2.3.2 本招选项目的工期要求：见投标须知前附表第7项。</w:t>
      </w:r>
    </w:p>
    <w:p>
      <w:pPr>
        <w:pageBreakBefore w:val="0"/>
        <w:widowControl w:val="0"/>
        <w:tabs>
          <w:tab w:val="left" w:pos="105"/>
        </w:tabs>
        <w:kinsoku/>
        <w:wordWrap/>
        <w:overflowPunct/>
        <w:topLinePunct w:val="0"/>
        <w:autoSpaceDE/>
        <w:autoSpaceDN/>
        <w:bidi w:val="0"/>
        <w:adjustRightInd/>
        <w:spacing w:line="360" w:lineRule="auto"/>
        <w:ind w:firstLine="482" w:firstLineChars="200"/>
        <w:textAlignment w:val="auto"/>
        <w:rPr>
          <w:rFonts w:ascii="宋体" w:hAnsi="宋体"/>
          <w:b/>
          <w:sz w:val="24"/>
        </w:rPr>
      </w:pPr>
      <w:r>
        <w:rPr>
          <w:rFonts w:hint="eastAsia" w:ascii="宋体" w:hAnsi="宋体"/>
          <w:b/>
          <w:sz w:val="24"/>
        </w:rPr>
        <w:t>3．资金来源</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bCs/>
          <w:sz w:val="24"/>
        </w:rPr>
      </w:pPr>
      <w:r>
        <w:rPr>
          <w:rFonts w:hint="eastAsia" w:ascii="宋体" w:hAnsi="宋体"/>
          <w:sz w:val="24"/>
        </w:rPr>
        <w:t>3.1</w:t>
      </w:r>
      <w:r>
        <w:rPr>
          <w:rFonts w:hint="eastAsia" w:ascii="宋体" w:hAnsi="宋体"/>
          <w:bCs/>
          <w:sz w:val="24"/>
        </w:rPr>
        <w:t xml:space="preserve"> 本招选项目资金来源见投标须知前附表第8项，其中部分资金用于本工程项目施工监理合同项下的合格支付。</w:t>
      </w:r>
    </w:p>
    <w:p>
      <w:pPr>
        <w:pageBreakBefore w:val="0"/>
        <w:widowControl w:val="0"/>
        <w:tabs>
          <w:tab w:val="left" w:pos="105"/>
        </w:tabs>
        <w:kinsoku/>
        <w:wordWrap/>
        <w:overflowPunct/>
        <w:topLinePunct w:val="0"/>
        <w:autoSpaceDE/>
        <w:autoSpaceDN/>
        <w:bidi w:val="0"/>
        <w:adjustRightInd/>
        <w:spacing w:line="360" w:lineRule="auto"/>
        <w:ind w:firstLine="482" w:firstLineChars="200"/>
        <w:textAlignment w:val="auto"/>
        <w:rPr>
          <w:rFonts w:ascii="宋体" w:hAnsi="宋体"/>
          <w:b/>
          <w:sz w:val="24"/>
        </w:rPr>
      </w:pPr>
      <w:r>
        <w:rPr>
          <w:rFonts w:hint="eastAsia" w:ascii="宋体" w:hAnsi="宋体"/>
          <w:b/>
          <w:sz w:val="24"/>
        </w:rPr>
        <w:t>4．合格的投标人</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bCs/>
          <w:sz w:val="24"/>
        </w:rPr>
      </w:pPr>
      <w:r>
        <w:rPr>
          <w:rFonts w:hint="eastAsia" w:ascii="宋体" w:hAnsi="宋体"/>
          <w:sz w:val="24"/>
        </w:rPr>
        <w:t>4.1</w:t>
      </w:r>
      <w:r>
        <w:rPr>
          <w:rFonts w:hint="eastAsia" w:ascii="宋体" w:hAnsi="宋体"/>
          <w:bCs/>
          <w:sz w:val="24"/>
        </w:rPr>
        <w:t>详见本项目招选公告</w:t>
      </w:r>
    </w:p>
    <w:p>
      <w:pPr>
        <w:pageBreakBefore w:val="0"/>
        <w:widowControl w:val="0"/>
        <w:kinsoku/>
        <w:wordWrap/>
        <w:overflowPunct/>
        <w:topLinePunct w:val="0"/>
        <w:autoSpaceDE/>
        <w:autoSpaceDN/>
        <w:bidi w:val="0"/>
        <w:adjustRightInd/>
        <w:spacing w:line="360" w:lineRule="auto"/>
        <w:ind w:left="-1" w:firstLine="482" w:firstLineChars="200"/>
        <w:textAlignment w:val="auto"/>
        <w:rPr>
          <w:rFonts w:ascii="宋体" w:hAnsi="宋体"/>
          <w:b/>
          <w:sz w:val="24"/>
        </w:rPr>
      </w:pPr>
      <w:r>
        <w:rPr>
          <w:rFonts w:hint="eastAsia" w:ascii="宋体" w:hAnsi="宋体"/>
          <w:b/>
          <w:sz w:val="24"/>
        </w:rPr>
        <w:t>5．踏勘现场</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bCs/>
          <w:sz w:val="24"/>
        </w:rPr>
      </w:pPr>
      <w:r>
        <w:rPr>
          <w:rFonts w:hint="eastAsia" w:ascii="宋体" w:hAnsi="宋体"/>
          <w:bCs/>
          <w:sz w:val="24"/>
        </w:rPr>
        <w:t>5.1  投标人可自行为踏勘目的进入招选人的项目现场，投标人应承担踏勘现场的责任和风险。</w:t>
      </w:r>
      <w:r>
        <w:rPr>
          <w:rFonts w:hint="eastAsia" w:ascii="宋体" w:hAnsi="宋体"/>
          <w:sz w:val="24"/>
        </w:rPr>
        <w:t>招选人在投标人及其代表考察过程中不负任何责任，</w:t>
      </w:r>
      <w:r>
        <w:rPr>
          <w:rFonts w:hint="eastAsia" w:ascii="宋体" w:hAnsi="宋体"/>
          <w:bCs/>
          <w:sz w:val="24"/>
        </w:rPr>
        <w:t>但投标人不得因此使招选人承担有关的责任和蒙受损失。</w:t>
      </w:r>
    </w:p>
    <w:p>
      <w:pPr>
        <w:pageBreakBefore w:val="0"/>
        <w:widowControl w:val="0"/>
        <w:tabs>
          <w:tab w:val="left" w:pos="105"/>
        </w:tabs>
        <w:kinsoku/>
        <w:wordWrap/>
        <w:overflowPunct/>
        <w:topLinePunct w:val="0"/>
        <w:autoSpaceDE/>
        <w:autoSpaceDN/>
        <w:bidi w:val="0"/>
        <w:adjustRightInd/>
        <w:spacing w:line="360" w:lineRule="auto"/>
        <w:ind w:firstLine="482" w:firstLineChars="200"/>
        <w:textAlignment w:val="auto"/>
        <w:rPr>
          <w:rFonts w:ascii="宋体" w:hAnsi="宋体"/>
          <w:b/>
          <w:sz w:val="24"/>
        </w:rPr>
      </w:pPr>
      <w:r>
        <w:rPr>
          <w:rFonts w:hint="eastAsia" w:ascii="宋体" w:hAnsi="宋体"/>
          <w:b/>
          <w:sz w:val="24"/>
        </w:rPr>
        <w:t>6．投标费用</w:t>
      </w:r>
    </w:p>
    <w:p>
      <w:pPr>
        <w:pageBreakBefore w:val="0"/>
        <w:widowControl w:val="0"/>
        <w:tabs>
          <w:tab w:val="left" w:pos="105"/>
        </w:tabs>
        <w:kinsoku/>
        <w:wordWrap/>
        <w:overflowPunct/>
        <w:topLinePunct w:val="0"/>
        <w:autoSpaceDE/>
        <w:autoSpaceDN/>
        <w:bidi w:val="0"/>
        <w:adjustRightInd/>
        <w:spacing w:line="360" w:lineRule="auto"/>
        <w:ind w:left="-1" w:firstLine="480" w:firstLineChars="200"/>
        <w:textAlignment w:val="auto"/>
        <w:rPr>
          <w:rFonts w:ascii="宋体" w:hAnsi="宋体"/>
          <w:bCs/>
          <w:sz w:val="24"/>
        </w:rPr>
      </w:pPr>
      <w:r>
        <w:rPr>
          <w:rFonts w:hint="eastAsia" w:ascii="宋体" w:hAnsi="宋体"/>
          <w:bCs/>
          <w:sz w:val="24"/>
        </w:rPr>
        <w:t>6.1 投标人应承担其参加本招选活动自身所发生的其他一切费用</w:t>
      </w:r>
      <w:r>
        <w:rPr>
          <w:rFonts w:hint="eastAsia" w:ascii="宋体" w:hAnsi="宋体"/>
          <w:sz w:val="24"/>
        </w:rPr>
        <w:t>，招选人对上述费用均不负任何责任</w:t>
      </w:r>
      <w:r>
        <w:rPr>
          <w:rFonts w:hint="eastAsia" w:ascii="宋体" w:hAnsi="宋体"/>
          <w:bCs/>
          <w:sz w:val="24"/>
        </w:rPr>
        <w:t>。</w:t>
      </w:r>
    </w:p>
    <w:p>
      <w:pPr>
        <w:pStyle w:val="2"/>
        <w:pageBreakBefore w:val="0"/>
        <w:widowControl w:val="0"/>
        <w:kinsoku/>
        <w:wordWrap/>
        <w:overflowPunct/>
        <w:topLinePunct w:val="0"/>
        <w:autoSpaceDE/>
        <w:autoSpaceDN/>
        <w:bidi w:val="0"/>
        <w:adjustRightInd/>
        <w:spacing w:line="360" w:lineRule="auto"/>
        <w:ind w:firstLine="420"/>
        <w:textAlignment w:val="auto"/>
        <w:rPr>
          <w:rFonts w:ascii="宋体" w:hAnsi="宋体" w:eastAsia="宋体" w:cs="宋体"/>
        </w:rPr>
      </w:pPr>
      <w:bookmarkStart w:id="12" w:name="_Toc499060870"/>
      <w:r>
        <w:rPr>
          <w:rFonts w:hint="eastAsia" w:ascii="宋体" w:hAnsi="宋体" w:eastAsia="宋体" w:cs="宋体"/>
          <w:bCs w:val="0"/>
        </w:rPr>
        <w:t>（二）招选文件</w:t>
      </w:r>
      <w:bookmarkEnd w:id="12"/>
    </w:p>
    <w:p>
      <w:pPr>
        <w:pageBreakBefore w:val="0"/>
        <w:widowControl w:val="0"/>
        <w:tabs>
          <w:tab w:val="left" w:pos="105"/>
        </w:tabs>
        <w:kinsoku/>
        <w:wordWrap/>
        <w:overflowPunct/>
        <w:topLinePunct w:val="0"/>
        <w:autoSpaceDE/>
        <w:autoSpaceDN/>
        <w:bidi w:val="0"/>
        <w:adjustRightInd/>
        <w:spacing w:line="360" w:lineRule="auto"/>
        <w:ind w:firstLine="482" w:firstLineChars="200"/>
        <w:textAlignment w:val="auto"/>
        <w:rPr>
          <w:rFonts w:ascii="宋体" w:hAnsi="宋体"/>
          <w:b/>
          <w:sz w:val="24"/>
        </w:rPr>
      </w:pPr>
      <w:r>
        <w:rPr>
          <w:rFonts w:hint="eastAsia" w:ascii="宋体" w:hAnsi="宋体"/>
          <w:b/>
          <w:sz w:val="24"/>
        </w:rPr>
        <w:t>7.招选文件的组成</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bCs/>
          <w:sz w:val="24"/>
        </w:rPr>
        <w:t>7.1</w:t>
      </w:r>
      <w:r>
        <w:rPr>
          <w:rFonts w:hint="eastAsia" w:ascii="宋体" w:hAnsi="宋体"/>
          <w:sz w:val="24"/>
        </w:rPr>
        <w:t>本招选文件包括下列文件，以及所有按投标须知第 9条发出的补充通知：</w:t>
      </w:r>
    </w:p>
    <w:p>
      <w:pPr>
        <w:pageBreakBefore w:val="0"/>
        <w:widowControl w:val="0"/>
        <w:kinsoku/>
        <w:wordWrap/>
        <w:overflowPunct/>
        <w:topLinePunct w:val="0"/>
        <w:autoSpaceDE/>
        <w:autoSpaceDN/>
        <w:bidi w:val="0"/>
        <w:adjustRightInd/>
        <w:spacing w:line="360" w:lineRule="auto"/>
        <w:ind w:left="1079" w:leftChars="514"/>
        <w:textAlignment w:val="auto"/>
        <w:rPr>
          <w:rFonts w:ascii="宋体" w:hAnsi="宋体"/>
          <w:sz w:val="24"/>
        </w:rPr>
      </w:pPr>
      <w:r>
        <w:rPr>
          <w:rFonts w:hint="eastAsia" w:ascii="宋体" w:hAnsi="宋体"/>
          <w:sz w:val="24"/>
        </w:rPr>
        <w:t>第1章 投标须知及前附表</w:t>
      </w:r>
    </w:p>
    <w:p>
      <w:pPr>
        <w:pageBreakBefore w:val="0"/>
        <w:widowControl w:val="0"/>
        <w:kinsoku/>
        <w:wordWrap/>
        <w:overflowPunct/>
        <w:topLinePunct w:val="0"/>
        <w:autoSpaceDE/>
        <w:autoSpaceDN/>
        <w:bidi w:val="0"/>
        <w:adjustRightInd/>
        <w:spacing w:line="360" w:lineRule="auto"/>
        <w:ind w:left="1079" w:leftChars="514"/>
        <w:textAlignment w:val="auto"/>
        <w:rPr>
          <w:rFonts w:ascii="宋体" w:hAnsi="宋体"/>
          <w:sz w:val="24"/>
        </w:rPr>
      </w:pPr>
      <w:r>
        <w:rPr>
          <w:rFonts w:hint="eastAsia" w:ascii="宋体" w:hAnsi="宋体"/>
          <w:sz w:val="24"/>
        </w:rPr>
        <w:t>第2章 监理合同</w:t>
      </w:r>
    </w:p>
    <w:p>
      <w:pPr>
        <w:pageBreakBefore w:val="0"/>
        <w:widowControl w:val="0"/>
        <w:kinsoku/>
        <w:wordWrap/>
        <w:overflowPunct/>
        <w:topLinePunct w:val="0"/>
        <w:autoSpaceDE/>
        <w:autoSpaceDN/>
        <w:bidi w:val="0"/>
        <w:adjustRightInd/>
        <w:spacing w:line="360" w:lineRule="auto"/>
        <w:ind w:firstLine="1080" w:firstLineChars="450"/>
        <w:textAlignment w:val="auto"/>
        <w:rPr>
          <w:rFonts w:ascii="宋体" w:hAnsi="宋体"/>
          <w:sz w:val="24"/>
        </w:rPr>
      </w:pPr>
      <w:r>
        <w:rPr>
          <w:rFonts w:hint="eastAsia" w:ascii="宋体" w:hAnsi="宋体"/>
          <w:sz w:val="24"/>
        </w:rPr>
        <w:t>第3章 投标格式文件</w:t>
      </w:r>
    </w:p>
    <w:p>
      <w:pPr>
        <w:pageBreakBefore w:val="0"/>
        <w:widowControl w:val="0"/>
        <w:kinsoku/>
        <w:wordWrap/>
        <w:overflowPunct/>
        <w:topLinePunct w:val="0"/>
        <w:autoSpaceDE/>
        <w:autoSpaceDN/>
        <w:bidi w:val="0"/>
        <w:adjustRightInd/>
        <w:spacing w:line="360" w:lineRule="auto"/>
        <w:ind w:left="1079" w:leftChars="514"/>
        <w:textAlignment w:val="auto"/>
        <w:rPr>
          <w:rFonts w:ascii="宋体" w:hAnsi="宋体"/>
          <w:sz w:val="24"/>
        </w:rPr>
      </w:pPr>
      <w:r>
        <w:rPr>
          <w:rFonts w:hint="eastAsia" w:ascii="宋体" w:hAnsi="宋体"/>
          <w:sz w:val="24"/>
        </w:rPr>
        <w:t>第4章 评选办法</w:t>
      </w:r>
    </w:p>
    <w:p>
      <w:pPr>
        <w:pStyle w:val="41"/>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7.2 除7.1内容外，招选人在提交投标文件截止时间</w:t>
      </w:r>
      <w:r>
        <w:rPr>
          <w:rFonts w:hint="eastAsia" w:ascii="宋体" w:hAnsi="宋体"/>
          <w:b/>
          <w:sz w:val="24"/>
          <w:u w:val="single"/>
        </w:rPr>
        <w:t>5</w:t>
      </w:r>
      <w:r>
        <w:rPr>
          <w:rFonts w:hint="eastAsia" w:ascii="宋体" w:hAnsi="宋体"/>
          <w:sz w:val="24"/>
        </w:rPr>
        <w:t>天前发出的对招选文件的澄清或修改内容，均为招选文件的组成部分，对招选人和投标人起约束作用。</w:t>
      </w:r>
    </w:p>
    <w:p>
      <w:pPr>
        <w:pStyle w:val="41"/>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7.3 投标人获取招选文件后，应仔细检查招选文件的所有内容，如有残缺等问题应在获得招选文件5日内向招选人提出，否则，由此引起的损失由投标人自己承担。投标人同时应认真审阅招选文件中所有的事项、格式、条款和规范要求等，若投标人的投标文件没有按招选文件要求提交全部资料，或投标文件实质上没有响应招选文件的要求，招选人将有权予以拒绝，并且不允许投标人通过修改或撤消其不符合要求的差异或保留使之成为具有响应性的投标文件。</w:t>
      </w:r>
    </w:p>
    <w:p>
      <w:pPr>
        <w:pStyle w:val="41"/>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bCs/>
          <w:sz w:val="24"/>
        </w:rPr>
      </w:pPr>
      <w:r>
        <w:rPr>
          <w:rFonts w:hint="eastAsia" w:ascii="宋体" w:hAnsi="宋体"/>
          <w:b/>
          <w:bCs/>
          <w:sz w:val="24"/>
        </w:rPr>
        <w:t>8．招选答疑</w:t>
      </w:r>
    </w:p>
    <w:p>
      <w:pPr>
        <w:pStyle w:val="41"/>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8.1 投标人若对招选文件中有疑问，可以书面形式提交给招选人，提交地点或电子邮箱见投标须知前附表第16项要求。招选人将于投标须知前附表第16项规定对疑问进行答复。</w:t>
      </w:r>
    </w:p>
    <w:p>
      <w:pPr>
        <w:pStyle w:val="41"/>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8.2 招选答疑要将以书面形式答复给所有投标人，投标人收到答疑纪要后24小时内以书面形式确认收到。招选答疑将作为招选文件的一部分，视为签订合同和结算的依据。</w:t>
      </w:r>
    </w:p>
    <w:p>
      <w:pPr>
        <w:pStyle w:val="41"/>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8.3 若招选答疑与招选文件有矛盾，以最后发出的答疑为准。</w:t>
      </w:r>
    </w:p>
    <w:p>
      <w:pPr>
        <w:pStyle w:val="41"/>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bCs/>
          <w:sz w:val="24"/>
        </w:rPr>
      </w:pPr>
      <w:r>
        <w:rPr>
          <w:rFonts w:hint="eastAsia" w:ascii="宋体" w:hAnsi="宋体"/>
          <w:b/>
          <w:bCs/>
          <w:sz w:val="24"/>
        </w:rPr>
        <w:t>9</w:t>
      </w:r>
      <w:r>
        <w:rPr>
          <w:rFonts w:hint="eastAsia" w:ascii="宋体" w:hAnsi="宋体"/>
          <w:b/>
          <w:sz w:val="24"/>
        </w:rPr>
        <w:t>．</w:t>
      </w:r>
      <w:r>
        <w:rPr>
          <w:rFonts w:hint="eastAsia" w:ascii="宋体" w:hAnsi="宋体"/>
          <w:b/>
          <w:bCs/>
          <w:sz w:val="24"/>
        </w:rPr>
        <w:t>招选文件的澄清与修改</w:t>
      </w:r>
    </w:p>
    <w:p>
      <w:pPr>
        <w:pStyle w:val="41"/>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9.1招选文件发出后,在提交投标文件截止时间</w:t>
      </w:r>
      <w:r>
        <w:rPr>
          <w:rFonts w:hint="eastAsia" w:ascii="宋体" w:hAnsi="宋体"/>
          <w:sz w:val="24"/>
          <w:u w:val="single"/>
          <w:lang w:val="en-US" w:eastAsia="zh-CN"/>
        </w:rPr>
        <w:t xml:space="preserve"> </w:t>
      </w:r>
      <w:r>
        <w:rPr>
          <w:rFonts w:hint="eastAsia" w:ascii="宋体" w:hAnsi="宋体"/>
          <w:b/>
          <w:sz w:val="24"/>
          <w:u w:val="single"/>
        </w:rPr>
        <w:t>5</w:t>
      </w:r>
      <w:r>
        <w:rPr>
          <w:rFonts w:hint="eastAsia" w:ascii="宋体" w:hAnsi="宋体"/>
          <w:sz w:val="24"/>
        </w:rPr>
        <w:t>日前，招选人可对招选文件进行必要的澄清或修改。</w:t>
      </w:r>
    </w:p>
    <w:p>
      <w:pPr>
        <w:pStyle w:val="41"/>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9.2招选文件的修改将以书面形式发送给所有投标人，投标人应于收到该修改文件后24小时内，以书面形式给予确认，招选文件的修改内容作为招选文件的组成部分，具有约束作用。</w:t>
      </w:r>
    </w:p>
    <w:p>
      <w:pPr>
        <w:pStyle w:val="41"/>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9.3 招选文件的澄清、修改、补充等内容均以书面形式明确的内容为准。当招选文件的澄清、修改、补充等在同一内容的表述不一致时，以最后发出的书面文件为准。</w:t>
      </w:r>
    </w:p>
    <w:p>
      <w:pPr>
        <w:pStyle w:val="41"/>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9.4为使投标人在编制投标文件时有充分的时间对招选文件的澄清、修改、补充等内容考虑进去，招选人将酌情延长提交投标文件的截止时间，具体时间将在招选文件的修改、补充通知中予以明确。若通知中没有明确延长时间，即表示投标时间不延长。</w:t>
      </w:r>
    </w:p>
    <w:p>
      <w:pPr>
        <w:pStyle w:val="2"/>
        <w:pageBreakBefore w:val="0"/>
        <w:widowControl w:val="0"/>
        <w:kinsoku/>
        <w:wordWrap/>
        <w:overflowPunct/>
        <w:topLinePunct w:val="0"/>
        <w:autoSpaceDE/>
        <w:autoSpaceDN/>
        <w:bidi w:val="0"/>
        <w:adjustRightInd/>
        <w:spacing w:line="360" w:lineRule="auto"/>
        <w:ind w:firstLine="420"/>
        <w:textAlignment w:val="auto"/>
        <w:rPr>
          <w:rFonts w:ascii="宋体" w:hAnsi="宋体" w:eastAsia="宋体" w:cs="宋体"/>
        </w:rPr>
      </w:pPr>
      <w:bookmarkStart w:id="13" w:name="_Toc6231"/>
      <w:bookmarkStart w:id="14" w:name="_Toc22939"/>
      <w:bookmarkStart w:id="15" w:name="_Toc22372"/>
      <w:bookmarkStart w:id="16" w:name="_Toc499060871"/>
      <w:bookmarkStart w:id="17" w:name="_Toc25276"/>
      <w:r>
        <w:rPr>
          <w:rFonts w:hint="eastAsia" w:ascii="宋体" w:hAnsi="宋体" w:eastAsia="宋体" w:cs="宋体"/>
        </w:rPr>
        <w:t>（三）投标文件的编制</w:t>
      </w:r>
      <w:bookmarkEnd w:id="13"/>
      <w:bookmarkEnd w:id="14"/>
      <w:bookmarkEnd w:id="15"/>
      <w:bookmarkEnd w:id="16"/>
      <w:bookmarkEnd w:id="17"/>
    </w:p>
    <w:p>
      <w:pPr>
        <w:pStyle w:val="41"/>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bCs/>
          <w:sz w:val="24"/>
        </w:rPr>
      </w:pPr>
      <w:r>
        <w:rPr>
          <w:rFonts w:hint="eastAsia" w:ascii="宋体" w:hAnsi="宋体"/>
          <w:b/>
          <w:bCs/>
          <w:sz w:val="24"/>
        </w:rPr>
        <w:t>10．投标文件的语言及度量衡单位</w:t>
      </w:r>
    </w:p>
    <w:p>
      <w:pPr>
        <w:pStyle w:val="41"/>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10.1 投标文件和与投标有关的所有文件均应使用</w:t>
      </w:r>
      <w:r>
        <w:rPr>
          <w:rFonts w:hint="eastAsia" w:ascii="宋体" w:hAnsi="宋体"/>
          <w:sz w:val="24"/>
          <w:u w:val="single"/>
        </w:rPr>
        <w:t>　汉语　</w:t>
      </w:r>
      <w:r>
        <w:rPr>
          <w:rFonts w:hint="eastAsia" w:ascii="宋体" w:hAnsi="宋体"/>
          <w:sz w:val="24"/>
        </w:rPr>
        <w:t>。</w:t>
      </w:r>
    </w:p>
    <w:p>
      <w:pPr>
        <w:pStyle w:val="41"/>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10.2 除工程规范另有规定外，投标文件使用的度量衡单位，均采用中华人民共和国法定计量单位。</w:t>
      </w:r>
    </w:p>
    <w:p>
      <w:pPr>
        <w:pStyle w:val="41"/>
        <w:pageBreakBefore w:val="0"/>
        <w:widowControl w:val="0"/>
        <w:numPr>
          <w:ilvl w:val="0"/>
          <w:numId w:val="1"/>
        </w:numPr>
        <w:kinsoku/>
        <w:wordWrap/>
        <w:overflowPunct/>
        <w:topLinePunct w:val="0"/>
        <w:autoSpaceDE/>
        <w:autoSpaceDN/>
        <w:bidi w:val="0"/>
        <w:adjustRightInd/>
        <w:spacing w:line="360" w:lineRule="auto"/>
        <w:ind w:firstLine="482" w:firstLineChars="200"/>
        <w:textAlignment w:val="auto"/>
        <w:rPr>
          <w:rFonts w:ascii="宋体" w:hAnsi="宋体"/>
          <w:b/>
          <w:bCs/>
          <w:sz w:val="24"/>
        </w:rPr>
      </w:pPr>
      <w:r>
        <w:rPr>
          <w:rFonts w:hint="eastAsia" w:ascii="宋体" w:hAnsi="宋体"/>
          <w:b/>
          <w:bCs/>
          <w:sz w:val="24"/>
        </w:rPr>
        <w:t>投标文件的组成(另按本须知第17.8条款的要求和格式提供一套与下列内容相同的电子文件)</w:t>
      </w:r>
    </w:p>
    <w:p>
      <w:pPr>
        <w:pageBreakBefore w:val="0"/>
        <w:widowControl w:val="0"/>
        <w:kinsoku/>
        <w:wordWrap/>
        <w:overflowPunct/>
        <w:topLinePunct w:val="0"/>
        <w:autoSpaceDE/>
        <w:autoSpaceDN/>
        <w:bidi w:val="0"/>
        <w:adjustRightInd/>
        <w:spacing w:line="360" w:lineRule="auto"/>
        <w:ind w:firstLine="448" w:firstLineChars="187"/>
        <w:textAlignment w:val="auto"/>
        <w:rPr>
          <w:rFonts w:ascii="宋体" w:hAnsi="宋体"/>
          <w:bCs/>
          <w:sz w:val="24"/>
        </w:rPr>
      </w:pPr>
      <w:r>
        <w:rPr>
          <w:rFonts w:hint="eastAsia" w:ascii="宋体" w:hAnsi="宋体"/>
          <w:bCs/>
          <w:sz w:val="24"/>
        </w:rPr>
        <w:t>11.1资格审查文件：按招选公告要求。(投标人自</w:t>
      </w:r>
      <w:r>
        <w:rPr>
          <w:rFonts w:hint="eastAsia" w:ascii="宋体" w:hAnsi="宋体"/>
          <w:bCs/>
          <w:sz w:val="24"/>
          <w:u w:val="single"/>
        </w:rPr>
        <w:t>2020</w:t>
      </w:r>
      <w:r>
        <w:rPr>
          <w:rFonts w:hint="eastAsia" w:ascii="宋体" w:hAnsi="宋体"/>
          <w:bCs/>
          <w:sz w:val="24"/>
        </w:rPr>
        <w:t>年</w:t>
      </w:r>
      <w:r>
        <w:rPr>
          <w:rFonts w:hint="eastAsia" w:ascii="宋体" w:hAnsi="宋体"/>
          <w:bCs/>
          <w:sz w:val="24"/>
          <w:u w:val="single"/>
        </w:rPr>
        <w:t>1</w:t>
      </w:r>
      <w:r>
        <w:rPr>
          <w:rFonts w:hint="eastAsia" w:ascii="宋体" w:hAnsi="宋体"/>
          <w:bCs/>
          <w:sz w:val="24"/>
        </w:rPr>
        <w:t>月</w:t>
      </w:r>
      <w:r>
        <w:rPr>
          <w:rFonts w:hint="eastAsia" w:ascii="宋体" w:hAnsi="宋体"/>
          <w:bCs/>
          <w:sz w:val="24"/>
          <w:u w:val="single"/>
        </w:rPr>
        <w:t xml:space="preserve"> 1 </w:t>
      </w:r>
      <w:r>
        <w:rPr>
          <w:rFonts w:hint="eastAsia" w:ascii="宋体" w:hAnsi="宋体"/>
          <w:bCs/>
          <w:sz w:val="24"/>
        </w:rPr>
        <w:t>日至今完成过质量合格的类似工程业绩)</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11.2商务、技术标文件</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11.2.1广州建设工程监理投标书（格式见附件一）</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11.2.2投标函（格式见附件二）</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11.2.3企业法定代表人身份证明书及法人授权委托书（如果授权）</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11.2.4投标函承诺书（格式见附表）</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11.2.5公司简介：</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1）公司组织构架；</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2）公司法人营业执照及监理资质证书复印件；</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3）近三年（2020年1月1日）主要监理项目的业绩（需同时提供中标通知书或相关证明、施工监理合同、竣工验收报告或竣工验收证明，完成时间以竣工验收报告或竣工验收证明的时间为准。）（以上所有资料的复印件均需盖公章，必要时需提供原件核对）；</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4）其它证明公司现有实力的材料（如ISO质量体系认证、工商局评价等）。</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11.2.6项目监理方案：</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1）工程概况；</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2）现场项目监理人员架构表及人员进场计划；</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3）项目总监及总监代表个人资料，包括工作简历、注册监理工程师证书及上岗证、技术职称证书、身份证件、监理过工程的业绩、得奖情况等（项目总监一经确定，若非业主要求，不得更改，否则业主将按监理合同的约定追究其违约责任）；</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4）现场其他项目监理人员的配备情况及个人资历复印件（附学历证书、注册监理工程师证书及上岗证、身份证及职称证书等证明材料的复印件）；</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5）详细论述拟在本工程监理过程中进行控制（投资、进度、质量）、管理（合同、信息）、协调所采用的手段、方法和措施；</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6）针对本工程的难点、重点分析及提出相应的监理手段和措施。以及有价值的建议、意见（包括工程施工技术措施、建构筑物保护措施、文明施工等）及其处理措施；</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备注：以上证明材料必要时需提交原件核对。</w:t>
      </w:r>
    </w:p>
    <w:p>
      <w:pPr>
        <w:pStyle w:val="41"/>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bCs/>
          <w:sz w:val="24"/>
        </w:rPr>
      </w:pPr>
      <w:r>
        <w:rPr>
          <w:rFonts w:hint="eastAsia" w:ascii="宋体" w:hAnsi="宋体"/>
          <w:b/>
          <w:bCs/>
          <w:sz w:val="24"/>
        </w:rPr>
        <w:t>12．投标文件格式</w:t>
      </w:r>
    </w:p>
    <w:p>
      <w:pPr>
        <w:pStyle w:val="41"/>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12.1 投标文件包括本须知第11条中规定的内容，投标人提交的投标文件应当使用招选文件所提供的投标格式文件的格式（表格可以按同样格式扩展）。</w:t>
      </w:r>
    </w:p>
    <w:p>
      <w:pPr>
        <w:pStyle w:val="41"/>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bCs/>
          <w:sz w:val="24"/>
        </w:rPr>
      </w:pPr>
      <w:r>
        <w:rPr>
          <w:rFonts w:hint="eastAsia" w:ascii="宋体" w:hAnsi="宋体"/>
          <w:b/>
          <w:bCs/>
          <w:sz w:val="24"/>
        </w:rPr>
        <w:t>13．投标报价</w:t>
      </w:r>
    </w:p>
    <w:p>
      <w:pPr>
        <w:pStyle w:val="41"/>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13.1 本工程的投标报价采用投标须知前附表第12项所规定的方式。</w:t>
      </w:r>
    </w:p>
    <w:p>
      <w:pPr>
        <w:pStyle w:val="41"/>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color w:val="auto"/>
          <w:sz w:val="24"/>
        </w:rPr>
      </w:pPr>
      <w:r>
        <w:rPr>
          <w:rFonts w:hint="eastAsia" w:ascii="宋体" w:hAnsi="宋体"/>
          <w:sz w:val="24"/>
        </w:rPr>
        <w:t>13.2 投标人的投标报价，应是完成本须知第2.3款和合同条款所列招选项目监理范</w:t>
      </w:r>
      <w:r>
        <w:rPr>
          <w:rFonts w:hint="eastAsia" w:ascii="宋体" w:hAnsi="宋体"/>
          <w:color w:val="auto"/>
          <w:sz w:val="24"/>
        </w:rPr>
        <w:t>围及工期的全部内容为计算投标报价基础。</w:t>
      </w:r>
    </w:p>
    <w:p>
      <w:pPr>
        <w:pStyle w:val="41"/>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olor w:val="auto"/>
          <w:sz w:val="24"/>
        </w:rPr>
      </w:pPr>
      <w:r>
        <w:rPr>
          <w:rFonts w:hint="eastAsia" w:ascii="宋体" w:hAnsi="宋体"/>
          <w:color w:val="auto"/>
          <w:sz w:val="24"/>
        </w:rPr>
        <w:t>13.3投标报价方式：本项目最高投标限价为</w:t>
      </w:r>
      <w:r>
        <w:rPr>
          <w:rFonts w:hint="eastAsia" w:ascii="宋体" w:hAnsi="宋体"/>
          <w:color w:val="auto"/>
          <w:sz w:val="24"/>
          <w:u w:val="single"/>
          <w:lang w:eastAsia="zh-CN"/>
        </w:rPr>
        <w:t>83.62</w:t>
      </w:r>
      <w:r>
        <w:rPr>
          <w:rFonts w:ascii="宋体" w:hAnsi="宋体"/>
          <w:color w:val="auto"/>
          <w:sz w:val="24"/>
        </w:rPr>
        <w:t>万元</w:t>
      </w:r>
      <w:r>
        <w:rPr>
          <w:rFonts w:hint="eastAsia" w:ascii="宋体" w:hAnsi="宋体"/>
          <w:color w:val="auto"/>
          <w:sz w:val="24"/>
        </w:rPr>
        <w:t>。投标报价超过最高限价的，为无效投标。</w:t>
      </w:r>
    </w:p>
    <w:p>
      <w:pPr>
        <w:pStyle w:val="41"/>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olor w:val="auto"/>
          <w:sz w:val="24"/>
        </w:rPr>
      </w:pPr>
      <w:r>
        <w:rPr>
          <w:rFonts w:hint="eastAsia" w:ascii="宋体" w:hAnsi="宋体"/>
          <w:color w:val="auto"/>
          <w:sz w:val="24"/>
        </w:rPr>
        <w:t>自行报价（报价以万元为单位，监理费率以%为单位，精确到小数位后2位），以本项目的工程估算（3955万元）作为计费基数，报监理费率（即投标报价（万元）=3955万元</w:t>
      </w:r>
      <w:r>
        <w:rPr>
          <w:rFonts w:hint="eastAsia" w:ascii="宋体" w:hAnsi="宋体"/>
          <w:color w:val="auto"/>
          <w:sz w:val="24"/>
          <w:lang w:eastAsia="zh-CN"/>
        </w:rPr>
        <w:t>×</w:t>
      </w:r>
      <w:r>
        <w:rPr>
          <w:rFonts w:hint="eastAsia" w:ascii="宋体" w:hAnsi="宋体"/>
          <w:color w:val="auto"/>
          <w:sz w:val="24"/>
        </w:rPr>
        <w:t>监理费率），最终合同结算价按实际服务项目的工程费为计费基数，乘以监理费率，合计为最终监理服务费的结算金额。</w:t>
      </w:r>
    </w:p>
    <w:p>
      <w:pPr>
        <w:pStyle w:val="41"/>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bCs/>
          <w:color w:val="auto"/>
          <w:sz w:val="24"/>
        </w:rPr>
      </w:pPr>
      <w:r>
        <w:rPr>
          <w:rFonts w:hint="eastAsia" w:ascii="宋体" w:hAnsi="宋体"/>
          <w:b/>
          <w:bCs/>
          <w:color w:val="auto"/>
          <w:sz w:val="24"/>
        </w:rPr>
        <w:t>14．投标货币</w:t>
      </w:r>
    </w:p>
    <w:p>
      <w:pPr>
        <w:pStyle w:val="41"/>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color w:val="auto"/>
          <w:sz w:val="24"/>
        </w:rPr>
      </w:pPr>
      <w:r>
        <w:rPr>
          <w:rFonts w:hint="eastAsia" w:ascii="宋体" w:hAnsi="宋体"/>
          <w:color w:val="auto"/>
          <w:sz w:val="24"/>
        </w:rPr>
        <w:t>14.1 本工程投标报价采用的币种为</w:t>
      </w:r>
      <w:r>
        <w:rPr>
          <w:rFonts w:hint="eastAsia" w:ascii="宋体" w:hAnsi="宋体"/>
          <w:color w:val="auto"/>
          <w:sz w:val="24"/>
          <w:u w:val="single"/>
        </w:rPr>
        <w:t>人民币</w:t>
      </w:r>
      <w:r>
        <w:rPr>
          <w:rFonts w:hint="eastAsia" w:ascii="宋体" w:hAnsi="宋体"/>
          <w:color w:val="auto"/>
          <w:sz w:val="24"/>
        </w:rPr>
        <w:t>。</w:t>
      </w:r>
    </w:p>
    <w:p>
      <w:pPr>
        <w:pStyle w:val="41"/>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bCs/>
          <w:color w:val="auto"/>
          <w:sz w:val="24"/>
        </w:rPr>
      </w:pPr>
      <w:r>
        <w:rPr>
          <w:rFonts w:hint="eastAsia" w:ascii="宋体" w:hAnsi="宋体"/>
          <w:b/>
          <w:bCs/>
          <w:color w:val="auto"/>
          <w:sz w:val="24"/>
        </w:rPr>
        <w:t>15．投标有效期</w:t>
      </w:r>
    </w:p>
    <w:p>
      <w:pPr>
        <w:pStyle w:val="41"/>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15.1 投标有效期见投标须知前附表第13项所规定的期限，在此期限内，凡符合本招选文件要求的投标文件均保持有效。</w:t>
      </w:r>
    </w:p>
    <w:p>
      <w:pPr>
        <w:pStyle w:val="41"/>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15.2 在特殊情况下，招选人在原定投标有效期内，可以根据需要向投标人提出延长投标有效期的要求，对此要求投标人须以书面形式予以答复。投标人可以拒绝招选人这种要求，同意延长投标有效期的投标人既不能要求也不允许修改其投标文件。</w:t>
      </w:r>
    </w:p>
    <w:p>
      <w:pPr>
        <w:pStyle w:val="41"/>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bCs/>
          <w:sz w:val="24"/>
        </w:rPr>
      </w:pPr>
      <w:r>
        <w:rPr>
          <w:rFonts w:hint="eastAsia" w:ascii="宋体" w:hAnsi="宋体"/>
          <w:b/>
          <w:bCs/>
          <w:sz w:val="24"/>
        </w:rPr>
        <w:t>16．投标文件的份数和签署</w:t>
      </w:r>
    </w:p>
    <w:p>
      <w:pPr>
        <w:pStyle w:val="41"/>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16.1 投标人应按投标须知前附表第17项规定的份数提交投标文件。</w:t>
      </w:r>
    </w:p>
    <w:p>
      <w:pPr>
        <w:pStyle w:val="41"/>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16.2 投标文件的正本和副本均需打印或使用不褪色的蓝、黑墨水笔书写，副本可以是正本的复印件，字迹应清晰易于辩认，并应在投标文件封面的右上角清楚地注明“正本”或“副本”。正本和副本如有不一致之处，以正本为准。</w:t>
      </w:r>
    </w:p>
    <w:p>
      <w:pPr>
        <w:pStyle w:val="41"/>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16.3 投标文件封面、监理服务承诺书及附表必须有法定代表人或其委托代理人签字（或盖章）并加盖投标单位公章。由委托代理人签字（或盖章）的投标文件中须同时提交法定代表人签署授权委托书。投标文件中</w:t>
      </w:r>
      <w:r>
        <w:rPr>
          <w:rFonts w:hint="eastAsia" w:ascii="宋体" w:hAnsi="宋体"/>
          <w:sz w:val="24"/>
          <w:lang w:eastAsia="zh-CN"/>
        </w:rPr>
        <w:t>提交</w:t>
      </w:r>
      <w:r>
        <w:rPr>
          <w:rFonts w:hint="eastAsia" w:ascii="宋体" w:hAnsi="宋体"/>
          <w:sz w:val="24"/>
        </w:rPr>
        <w:t>的法定代表人证明书、授权委托证明书格式、签字、盖章及内容均应符合要求，否则证明书无效。</w:t>
      </w:r>
    </w:p>
    <w:p>
      <w:pPr>
        <w:pStyle w:val="41"/>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16.4 除投标人对错误处须修改外，全套投标文件应无涂改或行间插字和增删。如有修改，修改处应盖校对章或法定代表人签字（或盖私章）或委托代理人签字（或盖私章），并加盖单位公章。</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16.5投标文件的规格：统一A4印刷本，纸质封面，印刷本可双面或单面打印。封面标明招选项目名称、投标人、投标时间，右上角打上正本（或副本）。使用书式装订，装订时书订不外露；不能使用塑料面或塑料胶条装订。</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16.6投标文件的页码：必须按每本逐页从1开始，按照流水号编号（包括附图、证件、图片等），页号编在右下角，若双面打印的页号编在左下角（空白页面不编号）。</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16.7投标方案图纸的整理：统一A3印刷，图纸横向按手风琴折叠，竖向按顺时针方向折叠，折叠后图标露在右下角，每本图纸厚度不要超过4CM，超过则分卷装订，每卷图纸从图纸封面起逐张从1开始打印页号。</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16.8招选人特别要求在投标人投标</w:t>
      </w:r>
      <w:r>
        <w:rPr>
          <w:rFonts w:hint="eastAsia" w:ascii="宋体" w:hAnsi="宋体"/>
          <w:sz w:val="24"/>
          <w:lang w:eastAsia="zh-CN"/>
        </w:rPr>
        <w:t>提交</w:t>
      </w:r>
      <w:r>
        <w:rPr>
          <w:rFonts w:hint="eastAsia" w:ascii="宋体" w:hAnsi="宋体"/>
          <w:sz w:val="24"/>
        </w:rPr>
        <w:t>印刷的投标文件时，同时</w:t>
      </w:r>
      <w:r>
        <w:rPr>
          <w:rFonts w:hint="eastAsia" w:ascii="宋体" w:hAnsi="宋体"/>
          <w:sz w:val="24"/>
          <w:lang w:eastAsia="zh-CN"/>
        </w:rPr>
        <w:t>提交</w:t>
      </w:r>
      <w:r>
        <w:rPr>
          <w:rFonts w:hint="eastAsia" w:ascii="宋体" w:hAnsi="宋体"/>
          <w:sz w:val="24"/>
        </w:rPr>
        <w:t>用“Microsoft Word ”制作的监理实施方案电子文件（光盘）。电子文件不能采用压缩处理，所有</w:t>
      </w:r>
      <w:r>
        <w:rPr>
          <w:rFonts w:hint="eastAsia" w:ascii="宋体" w:hAnsi="宋体"/>
          <w:sz w:val="24"/>
          <w:lang w:eastAsia="zh-CN"/>
        </w:rPr>
        <w:t>提交</w:t>
      </w:r>
      <w:r>
        <w:rPr>
          <w:rFonts w:hint="eastAsia" w:ascii="宋体" w:hAnsi="宋体"/>
          <w:sz w:val="24"/>
        </w:rPr>
        <w:t>的光盘均必须注明投标人名称、工程名称、文件名称。若电子文件与投标文本文件不相符时，以投标文本文件的“正本”为准。</w:t>
      </w:r>
    </w:p>
    <w:p>
      <w:pPr>
        <w:pStyle w:val="2"/>
        <w:pageBreakBefore w:val="0"/>
        <w:widowControl w:val="0"/>
        <w:kinsoku/>
        <w:wordWrap/>
        <w:overflowPunct/>
        <w:topLinePunct w:val="0"/>
        <w:autoSpaceDE/>
        <w:autoSpaceDN/>
        <w:bidi w:val="0"/>
        <w:adjustRightInd/>
        <w:spacing w:line="360" w:lineRule="auto"/>
        <w:ind w:firstLine="420"/>
        <w:textAlignment w:val="auto"/>
        <w:rPr>
          <w:rFonts w:ascii="宋体" w:hAnsi="宋体" w:eastAsia="宋体" w:cs="宋体"/>
        </w:rPr>
      </w:pPr>
      <w:bookmarkStart w:id="18" w:name="_Toc19009"/>
      <w:bookmarkStart w:id="19" w:name="_Toc31719"/>
      <w:bookmarkStart w:id="20" w:name="_Toc499060872"/>
      <w:bookmarkStart w:id="21" w:name="_Toc3147"/>
      <w:bookmarkStart w:id="22" w:name="_Toc11878"/>
      <w:r>
        <w:rPr>
          <w:rFonts w:hint="eastAsia" w:ascii="宋体" w:hAnsi="宋体" w:eastAsia="宋体" w:cs="宋体"/>
        </w:rPr>
        <w:t>（四）投标文件的提交</w:t>
      </w:r>
      <w:bookmarkEnd w:id="18"/>
      <w:bookmarkEnd w:id="19"/>
      <w:bookmarkEnd w:id="20"/>
      <w:bookmarkEnd w:id="21"/>
      <w:bookmarkEnd w:id="22"/>
    </w:p>
    <w:p>
      <w:pPr>
        <w:pStyle w:val="41"/>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bCs/>
          <w:sz w:val="24"/>
        </w:rPr>
      </w:pPr>
      <w:r>
        <w:rPr>
          <w:rFonts w:hint="eastAsia" w:ascii="宋体" w:hAnsi="宋体"/>
          <w:b/>
          <w:bCs/>
          <w:sz w:val="24"/>
        </w:rPr>
        <w:t>17．投标文件的包封、密封和标记</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szCs w:val="21"/>
        </w:rPr>
      </w:pPr>
      <w:r>
        <w:rPr>
          <w:rFonts w:hint="eastAsia" w:ascii="宋体" w:hAnsi="宋体"/>
          <w:sz w:val="24"/>
          <w:szCs w:val="21"/>
        </w:rPr>
        <w:t>17.1投标人投标时</w:t>
      </w:r>
      <w:r>
        <w:rPr>
          <w:rFonts w:hint="eastAsia" w:ascii="宋体" w:hAnsi="宋体"/>
          <w:sz w:val="24"/>
          <w:szCs w:val="21"/>
          <w:lang w:eastAsia="zh-CN"/>
        </w:rPr>
        <w:t>提交</w:t>
      </w:r>
      <w:r>
        <w:rPr>
          <w:rFonts w:hint="eastAsia" w:ascii="宋体" w:hAnsi="宋体"/>
          <w:sz w:val="24"/>
          <w:szCs w:val="21"/>
        </w:rPr>
        <w:t>的投标文件共</w:t>
      </w:r>
      <w:r>
        <w:rPr>
          <w:rFonts w:hint="eastAsia" w:ascii="宋体" w:hAnsi="宋体"/>
          <w:sz w:val="24"/>
          <w:u w:val="single"/>
        </w:rPr>
        <w:t xml:space="preserve"> 1 </w:t>
      </w:r>
      <w:r>
        <w:rPr>
          <w:rFonts w:hint="eastAsia" w:ascii="宋体" w:hAnsi="宋体"/>
          <w:sz w:val="24"/>
          <w:szCs w:val="21"/>
        </w:rPr>
        <w:t>包，其标记和密封要求如下：</w:t>
      </w:r>
    </w:p>
    <w:p>
      <w:pPr>
        <w:pageBreakBefore w:val="0"/>
        <w:widowControl w:val="0"/>
        <w:kinsoku/>
        <w:wordWrap/>
        <w:overflowPunct/>
        <w:topLinePunct w:val="0"/>
        <w:autoSpaceDE/>
        <w:autoSpaceDN/>
        <w:bidi w:val="0"/>
        <w:adjustRightInd/>
        <w:spacing w:line="360" w:lineRule="auto"/>
        <w:ind w:firstLine="424" w:firstLineChars="177"/>
        <w:textAlignment w:val="auto"/>
        <w:rPr>
          <w:rFonts w:ascii="宋体" w:hAnsi="宋体"/>
          <w:sz w:val="24"/>
        </w:rPr>
      </w:pPr>
      <w:r>
        <w:rPr>
          <w:rFonts w:hint="eastAsia" w:ascii="宋体" w:hAnsi="宋体"/>
          <w:sz w:val="24"/>
          <w:szCs w:val="21"/>
        </w:rPr>
        <w:t>投标文件的正本与副本及其电子文件，使用一个密封封套进行包装，在封套的封口处加盖投标人单位公章。</w:t>
      </w:r>
    </w:p>
    <w:p>
      <w:pPr>
        <w:pageBreakBefore w:val="0"/>
        <w:widowControl w:val="0"/>
        <w:kinsoku/>
        <w:wordWrap/>
        <w:overflowPunct/>
        <w:topLinePunct w:val="0"/>
        <w:autoSpaceDE/>
        <w:autoSpaceDN/>
        <w:bidi w:val="0"/>
        <w:adjustRightInd/>
        <w:snapToGrid w:val="0"/>
        <w:spacing w:line="360" w:lineRule="auto"/>
        <w:ind w:left="-1" w:firstLine="480" w:firstLineChars="200"/>
        <w:textAlignment w:val="auto"/>
        <w:rPr>
          <w:rFonts w:ascii="宋体" w:hAnsi="宋体"/>
          <w:sz w:val="24"/>
        </w:rPr>
      </w:pPr>
      <w:r>
        <w:rPr>
          <w:rFonts w:hint="eastAsia" w:ascii="宋体" w:hAnsi="宋体"/>
          <w:sz w:val="24"/>
        </w:rPr>
        <w:t>17.2投标文件的密封要求：投标人应确保密闭封装、并加盖骑缝公章。</w:t>
      </w:r>
    </w:p>
    <w:p>
      <w:pPr>
        <w:pageBreakBefore w:val="0"/>
        <w:widowControl w:val="0"/>
        <w:kinsoku/>
        <w:wordWrap/>
        <w:overflowPunct/>
        <w:topLinePunct w:val="0"/>
        <w:autoSpaceDE/>
        <w:autoSpaceDN/>
        <w:bidi w:val="0"/>
        <w:adjustRightInd/>
        <w:snapToGrid w:val="0"/>
        <w:spacing w:line="360" w:lineRule="auto"/>
        <w:ind w:left="-1" w:firstLine="480" w:firstLineChars="200"/>
        <w:textAlignment w:val="auto"/>
        <w:rPr>
          <w:rFonts w:ascii="宋体" w:hAnsi="宋体"/>
          <w:sz w:val="24"/>
        </w:rPr>
      </w:pPr>
      <w:r>
        <w:rPr>
          <w:rFonts w:hint="eastAsia" w:ascii="宋体" w:hAnsi="宋体"/>
          <w:sz w:val="24"/>
        </w:rPr>
        <w:t>17.3投标文件的标记要求：每个包封上应具有以下标记：</w:t>
      </w:r>
    </w:p>
    <w:p>
      <w:pPr>
        <w:pageBreakBefore w:val="0"/>
        <w:widowControl w:val="0"/>
        <w:kinsoku/>
        <w:wordWrap/>
        <w:overflowPunct/>
        <w:topLinePunct w:val="0"/>
        <w:autoSpaceDE/>
        <w:autoSpaceDN/>
        <w:bidi w:val="0"/>
        <w:adjustRightInd/>
        <w:snapToGrid w:val="0"/>
        <w:spacing w:line="360" w:lineRule="auto"/>
        <w:ind w:left="-1" w:firstLine="480" w:firstLineChars="200"/>
        <w:textAlignment w:val="auto"/>
        <w:rPr>
          <w:rFonts w:ascii="宋体" w:hAnsi="宋体"/>
          <w:sz w:val="24"/>
        </w:rPr>
      </w:pPr>
      <w:r>
        <w:rPr>
          <w:rFonts w:hint="eastAsia" w:ascii="宋体" w:hAnsi="宋体"/>
          <w:sz w:val="24"/>
        </w:rPr>
        <w:t>17.3.1招选人的名称和地址；</w:t>
      </w:r>
    </w:p>
    <w:p>
      <w:pPr>
        <w:pageBreakBefore w:val="0"/>
        <w:widowControl w:val="0"/>
        <w:kinsoku/>
        <w:wordWrap/>
        <w:overflowPunct/>
        <w:topLinePunct w:val="0"/>
        <w:autoSpaceDE/>
        <w:autoSpaceDN/>
        <w:bidi w:val="0"/>
        <w:adjustRightInd/>
        <w:snapToGrid w:val="0"/>
        <w:spacing w:line="360" w:lineRule="auto"/>
        <w:ind w:left="-1" w:firstLine="480" w:firstLineChars="200"/>
        <w:textAlignment w:val="auto"/>
        <w:rPr>
          <w:rFonts w:ascii="宋体" w:hAnsi="宋体"/>
          <w:sz w:val="24"/>
        </w:rPr>
      </w:pPr>
      <w:r>
        <w:rPr>
          <w:rFonts w:hint="eastAsia" w:ascii="宋体" w:hAnsi="宋体"/>
          <w:sz w:val="24"/>
        </w:rPr>
        <w:t>17.3.2项目（填入工程名称）。</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17.3.3前不得开封（填入前附表第18项所述日期及时间）。</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17.4在包封上应写明投标人的名称与地址，以便投标被宣布迟到时，能原封退回。</w:t>
      </w:r>
    </w:p>
    <w:p>
      <w:pPr>
        <w:pStyle w:val="41"/>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u w:val="single"/>
        </w:rPr>
      </w:pPr>
      <w:r>
        <w:rPr>
          <w:rFonts w:hint="eastAsia" w:ascii="宋体" w:hAnsi="宋体"/>
          <w:sz w:val="24"/>
        </w:rPr>
        <w:t>17.5如果包封上没有按上述规定密封并加写标志，招选人将不承担投标文件错放或提前开封的责任，由此造成的提前开封的投标文件，招选人予以拒绝，并退还给投标人。</w:t>
      </w:r>
    </w:p>
    <w:p>
      <w:pPr>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bCs/>
          <w:sz w:val="24"/>
        </w:rPr>
      </w:pPr>
      <w:r>
        <w:rPr>
          <w:rFonts w:hint="eastAsia" w:ascii="宋体" w:hAnsi="宋体"/>
          <w:b/>
          <w:bCs/>
          <w:sz w:val="24"/>
        </w:rPr>
        <w:t>18．投标文件的提交</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18.1 投标人应按投标须知前附表第18项所规定的地点，于截止时间前提交投标文件，并办理好送达签认手续。</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18.2投标文件提交人在提交投标文件时应出示法定代表人证明书（原件）、法定代表人授权委托证明书（原件）及本人身份证（原件）提交投标文件。</w:t>
      </w:r>
    </w:p>
    <w:p>
      <w:pPr>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bCs/>
          <w:sz w:val="24"/>
        </w:rPr>
      </w:pPr>
      <w:r>
        <w:rPr>
          <w:rFonts w:hint="eastAsia" w:ascii="宋体" w:hAnsi="宋体"/>
          <w:b/>
          <w:bCs/>
          <w:sz w:val="24"/>
        </w:rPr>
        <w:t>19．投标文件提交的截止时间</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b/>
          <w:bCs/>
          <w:sz w:val="24"/>
        </w:rPr>
      </w:pPr>
      <w:r>
        <w:rPr>
          <w:rFonts w:hint="eastAsia" w:ascii="宋体" w:hAnsi="宋体"/>
          <w:sz w:val="24"/>
        </w:rPr>
        <w:t>19.1投标人应按前附表第18项所述的地点、日期和时间将投标文件提交给招选人。</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19.2招选人可按本须知第9条规定以修改补充通知的方式，酌情延长提交投标文件的截止时间。在此情况下，投标人的所有权利和义务以及投标人受制约的截止时间，均以延长后新的投标截止时间为准。</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19.3 到投标截止时间止，招选人收到的投标文件少于3家的，招选人将依法重新组织招选。</w:t>
      </w:r>
    </w:p>
    <w:p>
      <w:pPr>
        <w:pageBreakBefore w:val="0"/>
        <w:widowControl w:val="0"/>
        <w:kinsoku/>
        <w:wordWrap/>
        <w:overflowPunct/>
        <w:topLinePunct w:val="0"/>
        <w:autoSpaceDE/>
        <w:autoSpaceDN/>
        <w:bidi w:val="0"/>
        <w:adjustRightInd/>
        <w:spacing w:line="360" w:lineRule="auto"/>
        <w:ind w:left="-1" w:firstLine="482" w:firstLineChars="200"/>
        <w:textAlignment w:val="auto"/>
        <w:rPr>
          <w:rFonts w:ascii="宋体" w:hAnsi="宋体"/>
          <w:sz w:val="24"/>
        </w:rPr>
      </w:pPr>
      <w:r>
        <w:rPr>
          <w:rFonts w:hint="eastAsia" w:ascii="宋体" w:hAnsi="宋体"/>
          <w:b/>
          <w:bCs/>
          <w:sz w:val="24"/>
        </w:rPr>
        <w:t>20．迟交的投标文件</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20.1 招选人在本须知第20条规定的投标截止时间以后收到的投标文件，将被拒绝并退回给投标人。</w:t>
      </w:r>
    </w:p>
    <w:p>
      <w:pPr>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bCs/>
          <w:sz w:val="24"/>
        </w:rPr>
      </w:pPr>
      <w:r>
        <w:rPr>
          <w:rFonts w:hint="eastAsia" w:ascii="宋体" w:hAnsi="宋体"/>
          <w:b/>
          <w:bCs/>
          <w:sz w:val="24"/>
        </w:rPr>
        <w:t>21．投标文件的补充、修改与撤回</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21.1 投标人在提交投标文件以后，在规定的投标截止时间之前，可以以书面形式补充修改或撤回已提交的投标文件，并以书面形式通知招选人。补充、修改的内容为投标文件的组成部分。</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21.2 投标人对投标文件的补充、修改，应按本须知第18条有关规定密封、标记和提交，并在投标文件密封袋上清楚标明“补充、修改”或“撤回”字样。</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21.3 在投标截止时间之后，投标人不得补充、修改投标文件。</w:t>
      </w:r>
    </w:p>
    <w:p>
      <w:pPr>
        <w:pageBreakBefore w:val="0"/>
        <w:widowControl w:val="0"/>
        <w:kinsoku/>
        <w:wordWrap/>
        <w:overflowPunct/>
        <w:topLinePunct w:val="0"/>
        <w:autoSpaceDE/>
        <w:autoSpaceDN/>
        <w:bidi w:val="0"/>
        <w:adjustRightInd/>
        <w:snapToGrid w:val="0"/>
        <w:spacing w:line="360" w:lineRule="auto"/>
        <w:ind w:left="-1" w:firstLine="480" w:firstLineChars="200"/>
        <w:textAlignment w:val="auto"/>
        <w:rPr>
          <w:rFonts w:ascii="宋体" w:hAnsi="宋体"/>
          <w:sz w:val="24"/>
        </w:rPr>
      </w:pPr>
      <w:r>
        <w:rPr>
          <w:rFonts w:hint="eastAsia" w:ascii="宋体" w:hAnsi="宋体"/>
          <w:sz w:val="24"/>
        </w:rPr>
        <w:t>21.4根据本须知第16条的规定，在投标截止期与招选人在招选文件中规定的有效期终止日之间的这段时期内，投标人不能撤回投标文件，否则其投标保证金将被没收。</w:t>
      </w:r>
    </w:p>
    <w:p>
      <w:pPr>
        <w:pStyle w:val="2"/>
        <w:pageBreakBefore w:val="0"/>
        <w:widowControl w:val="0"/>
        <w:kinsoku/>
        <w:wordWrap/>
        <w:overflowPunct/>
        <w:topLinePunct w:val="0"/>
        <w:autoSpaceDE/>
        <w:autoSpaceDN/>
        <w:bidi w:val="0"/>
        <w:adjustRightInd/>
        <w:spacing w:line="360" w:lineRule="auto"/>
        <w:ind w:firstLine="420"/>
        <w:textAlignment w:val="auto"/>
        <w:rPr>
          <w:rFonts w:ascii="宋体" w:hAnsi="宋体" w:eastAsia="宋体" w:cs="宋体"/>
        </w:rPr>
      </w:pPr>
      <w:bookmarkStart w:id="23" w:name="_Toc499060873"/>
      <w:bookmarkStart w:id="24" w:name="_Toc22266"/>
      <w:bookmarkStart w:id="25" w:name="_Toc1467"/>
      <w:bookmarkStart w:id="26" w:name="_Toc32458"/>
      <w:bookmarkStart w:id="27" w:name="_Toc5134"/>
      <w:r>
        <w:rPr>
          <w:rFonts w:hint="eastAsia" w:ascii="宋体" w:hAnsi="宋体" w:eastAsia="宋体" w:cs="宋体"/>
        </w:rPr>
        <w:t>（五）开标</w:t>
      </w:r>
      <w:bookmarkEnd w:id="23"/>
      <w:bookmarkEnd w:id="24"/>
      <w:bookmarkEnd w:id="25"/>
      <w:bookmarkEnd w:id="26"/>
      <w:bookmarkEnd w:id="27"/>
    </w:p>
    <w:p>
      <w:pPr>
        <w:pageBreakBefore w:val="0"/>
        <w:widowControl w:val="0"/>
        <w:kinsoku/>
        <w:wordWrap/>
        <w:overflowPunct/>
        <w:topLinePunct w:val="0"/>
        <w:autoSpaceDE/>
        <w:autoSpaceDN/>
        <w:bidi w:val="0"/>
        <w:adjustRightInd/>
        <w:spacing w:line="360" w:lineRule="auto"/>
        <w:ind w:left="1" w:firstLine="482" w:firstLineChars="200"/>
        <w:textAlignment w:val="auto"/>
        <w:rPr>
          <w:rFonts w:ascii="宋体" w:hAnsi="宋体"/>
          <w:b/>
          <w:bCs/>
          <w:sz w:val="24"/>
        </w:rPr>
      </w:pPr>
      <w:r>
        <w:rPr>
          <w:rFonts w:hint="eastAsia" w:ascii="宋体" w:hAnsi="宋体"/>
          <w:b/>
          <w:bCs/>
          <w:sz w:val="24"/>
        </w:rPr>
        <w:t>22．开标</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22.1 见第五章 评选办法。</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22.2投标文件有下列情形之一的，招选人不予受理：</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22.2.1逾期送达的或者未送达指定地点的；</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bCs/>
          <w:sz w:val="24"/>
        </w:rPr>
      </w:pPr>
      <w:r>
        <w:rPr>
          <w:rFonts w:hint="eastAsia" w:ascii="宋体" w:hAnsi="宋体"/>
          <w:bCs/>
          <w:sz w:val="24"/>
        </w:rPr>
        <w:t>22.2.2未按招选文件要求密封的。</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22.3招选人将上述符合要求的投标文件，送至评选委员会进行评审的。</w:t>
      </w:r>
    </w:p>
    <w:p>
      <w:pPr>
        <w:pStyle w:val="2"/>
        <w:pageBreakBefore w:val="0"/>
        <w:widowControl w:val="0"/>
        <w:kinsoku/>
        <w:wordWrap/>
        <w:overflowPunct/>
        <w:topLinePunct w:val="0"/>
        <w:autoSpaceDE/>
        <w:autoSpaceDN/>
        <w:bidi w:val="0"/>
        <w:adjustRightInd/>
        <w:spacing w:line="360" w:lineRule="auto"/>
        <w:ind w:firstLine="420"/>
        <w:textAlignment w:val="auto"/>
        <w:rPr>
          <w:rFonts w:ascii="宋体" w:hAnsi="宋体" w:eastAsia="宋体" w:cs="宋体"/>
        </w:rPr>
      </w:pPr>
      <w:bookmarkStart w:id="28" w:name="_Toc25034"/>
      <w:bookmarkStart w:id="29" w:name="_Toc9413"/>
      <w:bookmarkStart w:id="30" w:name="_Toc499060874"/>
      <w:bookmarkStart w:id="31" w:name="_Toc3911"/>
      <w:bookmarkStart w:id="32" w:name="_Toc6794"/>
      <w:r>
        <w:rPr>
          <w:rFonts w:hint="eastAsia" w:ascii="宋体" w:hAnsi="宋体" w:eastAsia="宋体" w:cs="宋体"/>
        </w:rPr>
        <w:t xml:space="preserve">（六） </w:t>
      </w:r>
      <w:bookmarkEnd w:id="28"/>
      <w:bookmarkEnd w:id="29"/>
      <w:bookmarkEnd w:id="30"/>
      <w:bookmarkEnd w:id="31"/>
      <w:bookmarkEnd w:id="32"/>
      <w:r>
        <w:rPr>
          <w:rFonts w:hint="eastAsia" w:ascii="宋体" w:hAnsi="宋体" w:eastAsia="宋体" w:cs="宋体"/>
        </w:rPr>
        <w:t>评选</w:t>
      </w:r>
    </w:p>
    <w:p>
      <w:pPr>
        <w:pageBreakBefore w:val="0"/>
        <w:widowControl w:val="0"/>
        <w:kinsoku/>
        <w:wordWrap/>
        <w:overflowPunct/>
        <w:topLinePunct w:val="0"/>
        <w:autoSpaceDE/>
        <w:autoSpaceDN/>
        <w:bidi w:val="0"/>
        <w:adjustRightInd/>
        <w:spacing w:line="360" w:lineRule="auto"/>
        <w:ind w:left="1" w:firstLine="482" w:firstLineChars="200"/>
        <w:textAlignment w:val="auto"/>
        <w:rPr>
          <w:rFonts w:ascii="宋体" w:hAnsi="宋体"/>
          <w:b/>
          <w:bCs/>
          <w:sz w:val="24"/>
        </w:rPr>
      </w:pPr>
      <w:r>
        <w:rPr>
          <w:rFonts w:hint="eastAsia" w:ascii="宋体" w:hAnsi="宋体"/>
          <w:b/>
          <w:bCs/>
          <w:sz w:val="24"/>
        </w:rPr>
        <w:t>23．评选过程的保密</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23.1 开标后，直至授予中选人合同为止，凡属于对投标文件的审查、澄清、评价和比较有关的资料以及中选候选人的推荐情况，与评选有关的其他任何情况均严格保密。</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23.2 在投标文件的评审和比较、中选候选人推荐以及授予合同的过程中，投标人向招选人和评选委员会施加影响的任何行为，都将会导致其投标被拒绝。</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23.3 中选人确定后，招选人不对未中选人就评选过程以及未能中选原因作出任何解释。未中选人不得向评选委员会组成人员或其他有关人员索问评选过程的情况和材料。</w:t>
      </w:r>
    </w:p>
    <w:p>
      <w:pPr>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bCs/>
          <w:sz w:val="24"/>
        </w:rPr>
      </w:pPr>
      <w:r>
        <w:rPr>
          <w:rFonts w:hint="eastAsia" w:ascii="宋体" w:hAnsi="宋体"/>
          <w:b/>
          <w:bCs/>
          <w:sz w:val="24"/>
        </w:rPr>
        <w:t>24．投标文件的澄清</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24.1 为有助于投标文件的审查、评价和比较，评选委员会可以以书面形式要求投标人对投标文件含义不明确的内容作必要的澄清或说明，投标人应书面形式进行澄清或说明，但不得超出投标文件的范围或改变投标文件的实质性内容。</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24.2 如果投标文件实质上不响应招选文件的各项要求，评选委员会将予以拒绝，并且不允许投标人通过修改或撤销其不符合要求的差异或保留，使之成为具有响应性的投标。</w:t>
      </w:r>
    </w:p>
    <w:p>
      <w:pPr>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bCs/>
          <w:sz w:val="24"/>
        </w:rPr>
      </w:pPr>
      <w:r>
        <w:rPr>
          <w:rFonts w:hint="eastAsia" w:ascii="宋体" w:hAnsi="宋体"/>
          <w:b/>
          <w:bCs/>
          <w:sz w:val="24"/>
        </w:rPr>
        <w:t>25．投标文件的评审、比较和否决</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25.1 评选委员会将按照本须知第26条规定，仅对在实质上响应招选文件要求的投标文件进行评审和比较。</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25.2 在评审过程中，评选委员会可以以书面形式要求投标人就投标文件中含义不明确的内容进行书面说明并提供相关材料。</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25.3 评选委员会依据投标须知前附表第20项规定的评选标准和方法，详见本招选文件《评选办法》，对投标文件进行评审和比较，向招选人提出书面评选报告，推荐综合得分由高至低排序的前三名分别为第一、第二、第三中选候选人。招选人根据评选委员会</w:t>
      </w:r>
      <w:r>
        <w:rPr>
          <w:rFonts w:hint="eastAsia" w:ascii="宋体" w:hAnsi="宋体"/>
          <w:sz w:val="24"/>
          <w:lang w:eastAsia="zh-CN"/>
        </w:rPr>
        <w:t>提交</w:t>
      </w:r>
      <w:r>
        <w:rPr>
          <w:rFonts w:hint="eastAsia" w:ascii="宋体" w:hAnsi="宋体"/>
          <w:sz w:val="24"/>
        </w:rPr>
        <w:t>的评选报告，最终依法确定中选人。</w:t>
      </w:r>
    </w:p>
    <w:p>
      <w:pPr>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bCs/>
          <w:sz w:val="24"/>
        </w:rPr>
      </w:pPr>
      <w:r>
        <w:rPr>
          <w:rFonts w:hint="eastAsia" w:ascii="宋体" w:hAnsi="宋体"/>
          <w:b/>
          <w:bCs/>
          <w:sz w:val="24"/>
        </w:rPr>
        <w:t>26．评选委员会依据有关法律、法规和招选文件的规定对投标文件进行评审，经评定的有效投标人不足三名时，招选人应当依法重新组织招选。</w:t>
      </w:r>
    </w:p>
    <w:p>
      <w:pPr>
        <w:pStyle w:val="2"/>
        <w:pageBreakBefore w:val="0"/>
        <w:widowControl w:val="0"/>
        <w:kinsoku/>
        <w:wordWrap/>
        <w:overflowPunct/>
        <w:topLinePunct w:val="0"/>
        <w:autoSpaceDE/>
        <w:autoSpaceDN/>
        <w:bidi w:val="0"/>
        <w:adjustRightInd/>
        <w:spacing w:line="360" w:lineRule="auto"/>
        <w:ind w:firstLine="420"/>
        <w:textAlignment w:val="auto"/>
        <w:rPr>
          <w:rFonts w:ascii="宋体" w:hAnsi="宋体" w:eastAsia="宋体" w:cs="宋体"/>
        </w:rPr>
      </w:pPr>
      <w:bookmarkStart w:id="33" w:name="_Toc28155"/>
      <w:bookmarkStart w:id="34" w:name="_Toc26433"/>
      <w:bookmarkStart w:id="35" w:name="_Toc30694"/>
      <w:bookmarkStart w:id="36" w:name="_Toc499060875"/>
      <w:bookmarkStart w:id="37" w:name="_Toc32241"/>
      <w:r>
        <w:rPr>
          <w:rFonts w:hint="eastAsia" w:ascii="宋体" w:hAnsi="宋体" w:eastAsia="宋体" w:cs="宋体"/>
        </w:rPr>
        <w:t>（七）合同的授予</w:t>
      </w:r>
      <w:bookmarkEnd w:id="33"/>
      <w:bookmarkEnd w:id="34"/>
      <w:bookmarkEnd w:id="35"/>
      <w:bookmarkEnd w:id="36"/>
      <w:bookmarkEnd w:id="37"/>
    </w:p>
    <w:p>
      <w:pPr>
        <w:pageBreakBefore w:val="0"/>
        <w:widowControl w:val="0"/>
        <w:kinsoku/>
        <w:wordWrap/>
        <w:overflowPunct/>
        <w:topLinePunct w:val="0"/>
        <w:autoSpaceDE/>
        <w:autoSpaceDN/>
        <w:bidi w:val="0"/>
        <w:adjustRightInd/>
        <w:spacing w:line="360" w:lineRule="auto"/>
        <w:ind w:left="1" w:firstLine="482" w:firstLineChars="200"/>
        <w:textAlignment w:val="auto"/>
        <w:rPr>
          <w:rFonts w:ascii="宋体" w:hAnsi="宋体"/>
          <w:b/>
          <w:bCs/>
          <w:sz w:val="24"/>
        </w:rPr>
      </w:pPr>
      <w:r>
        <w:rPr>
          <w:rFonts w:hint="eastAsia" w:ascii="宋体" w:hAnsi="宋体"/>
          <w:b/>
          <w:bCs/>
          <w:sz w:val="24"/>
        </w:rPr>
        <w:t>27．合同授予标准</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27.1 本招选(项目)工程的监理合同将授予按本须知第25.3款所确定的中选人。</w:t>
      </w:r>
    </w:p>
    <w:p>
      <w:pPr>
        <w:pageBreakBefore w:val="0"/>
        <w:widowControl w:val="0"/>
        <w:tabs>
          <w:tab w:val="left" w:pos="540"/>
        </w:tabs>
        <w:kinsoku/>
        <w:wordWrap/>
        <w:overflowPunct/>
        <w:topLinePunct w:val="0"/>
        <w:autoSpaceDE/>
        <w:autoSpaceDN/>
        <w:bidi w:val="0"/>
        <w:adjustRightInd/>
        <w:spacing w:line="360" w:lineRule="auto"/>
        <w:ind w:firstLine="482" w:firstLineChars="200"/>
        <w:textAlignment w:val="auto"/>
        <w:rPr>
          <w:rFonts w:ascii="宋体" w:hAnsi="宋体"/>
          <w:b/>
          <w:bCs/>
          <w:sz w:val="24"/>
        </w:rPr>
      </w:pPr>
      <w:r>
        <w:rPr>
          <w:rFonts w:hint="eastAsia" w:ascii="宋体" w:hAnsi="宋体"/>
          <w:b/>
          <w:bCs/>
          <w:sz w:val="24"/>
        </w:rPr>
        <w:t>28．招选人保留接受或拒绝任何某一投标或所有投标的权力</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sz w:val="24"/>
        </w:rPr>
      </w:pPr>
      <w:r>
        <w:rPr>
          <w:rFonts w:hint="eastAsia" w:ascii="宋体" w:hAnsi="宋体"/>
          <w:sz w:val="24"/>
        </w:rPr>
        <w:t>28.1 招选人不承诺将合同授予报价最低的投标人。招选人在发出中选通知书前，有权依据评选委员会的评选报告拒绝不合格的投标。</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color w:val="auto"/>
          <w:sz w:val="24"/>
          <w:highlight w:val="none"/>
        </w:rPr>
      </w:pPr>
      <w:r>
        <w:rPr>
          <w:rFonts w:hint="eastAsia" w:ascii="宋体" w:hAnsi="宋体"/>
          <w:sz w:val="24"/>
        </w:rPr>
        <w:t>28.2招选人保留接受或拒绝任何某一投标或所有投标的权力。尽管有本须知第25.3款的规定，但在有合理正当理由（如项目终止等）的情况下，招选人在授予合同前任何时候有权接受或拒绝任何投标书，宣布招选程序无效并拒绝所有投标书，</w:t>
      </w:r>
      <w:r>
        <w:rPr>
          <w:rFonts w:hint="eastAsia" w:ascii="宋体" w:hAnsi="宋体"/>
          <w:color w:val="auto"/>
          <w:sz w:val="24"/>
          <w:highlight w:val="none"/>
        </w:rPr>
        <w:t>而且对由此引起的对投标人的影响不承担任何责任，也无须将这样做的理由通知受影响的投标人。</w:t>
      </w:r>
    </w:p>
    <w:p>
      <w:pPr>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bCs/>
          <w:color w:val="auto"/>
          <w:sz w:val="24"/>
          <w:highlight w:val="none"/>
        </w:rPr>
      </w:pPr>
      <w:r>
        <w:rPr>
          <w:rFonts w:hint="eastAsia" w:ascii="宋体" w:hAnsi="宋体"/>
          <w:b/>
          <w:bCs/>
          <w:color w:val="auto"/>
          <w:sz w:val="24"/>
          <w:highlight w:val="none"/>
        </w:rPr>
        <w:t>29．中选通知书</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29.1评选结果得出后，中选结果</w:t>
      </w:r>
      <w:r>
        <w:rPr>
          <w:rFonts w:hint="eastAsia" w:ascii="宋体" w:hAnsi="宋体"/>
          <w:color w:val="auto"/>
          <w:sz w:val="24"/>
          <w:highlight w:val="none"/>
          <w:u w:val="single"/>
        </w:rPr>
        <w:t>中国招标投标公共服务</w:t>
      </w:r>
      <w:bookmarkStart w:id="118" w:name="_GoBack"/>
      <w:bookmarkEnd w:id="118"/>
      <w:r>
        <w:rPr>
          <w:rFonts w:hint="eastAsia" w:ascii="宋体" w:hAnsi="宋体"/>
          <w:color w:val="auto"/>
          <w:sz w:val="24"/>
          <w:highlight w:val="none"/>
          <w:u w:val="single"/>
        </w:rPr>
        <w:t>平台（网址：http://www.cebpubservice.com/</w:t>
      </w:r>
      <w:r>
        <w:rPr>
          <w:rFonts w:hint="eastAsia" w:ascii="宋体" w:hAnsi="宋体"/>
          <w:color w:val="auto"/>
          <w:sz w:val="24"/>
          <w:highlight w:val="none"/>
        </w:rPr>
        <w:t>）、</w:t>
      </w:r>
      <w:r>
        <w:rPr>
          <w:rFonts w:hint="eastAsia" w:ascii="宋体" w:hAnsi="宋体"/>
          <w:color w:val="auto"/>
          <w:sz w:val="24"/>
          <w:highlight w:val="none"/>
          <w:u w:val="single"/>
        </w:rPr>
        <w:t>花城汇官网（网址：https://www.mowgz.com）</w:t>
      </w:r>
      <w:r>
        <w:rPr>
          <w:rFonts w:hint="eastAsia" w:ascii="宋体" w:hAnsi="宋体"/>
          <w:color w:val="auto"/>
          <w:sz w:val="24"/>
          <w:highlight w:val="none"/>
        </w:rPr>
        <w:t>公示三个工作日。</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29.2中选通知书经招选人确认，并由招选人颁发。</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pacing w:val="-6"/>
          <w:sz w:val="24"/>
          <w:bdr w:val="single" w:color="auto" w:sz="4" w:space="0"/>
        </w:rPr>
      </w:pPr>
      <w:r>
        <w:rPr>
          <w:rFonts w:hint="eastAsia" w:ascii="宋体" w:hAnsi="宋体"/>
          <w:sz w:val="24"/>
        </w:rPr>
        <w:t>29.3</w:t>
      </w:r>
      <w:r>
        <w:rPr>
          <w:rFonts w:hint="eastAsia" w:ascii="宋体" w:hAnsi="宋体"/>
          <w:spacing w:val="-6"/>
          <w:sz w:val="24"/>
        </w:rPr>
        <w:t>中选人必须在收到中选通知书后24小时之内以书面形式回复招选人，确认收到。</w:t>
      </w:r>
    </w:p>
    <w:p>
      <w:pPr>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bCs/>
          <w:sz w:val="24"/>
        </w:rPr>
      </w:pPr>
      <w:r>
        <w:rPr>
          <w:rFonts w:hint="eastAsia" w:ascii="宋体" w:hAnsi="宋体"/>
          <w:b/>
          <w:bCs/>
          <w:sz w:val="24"/>
        </w:rPr>
        <w:t>30．合同协议书的签订</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30.1 招选人与中选人将于中选通知书发出之日起</w:t>
      </w:r>
      <w:r>
        <w:rPr>
          <w:rFonts w:ascii="宋体" w:hAnsi="宋体"/>
          <w:sz w:val="24"/>
        </w:rPr>
        <w:t>3</w:t>
      </w:r>
      <w:r>
        <w:rPr>
          <w:rFonts w:hint="eastAsia" w:ascii="宋体" w:hAnsi="宋体"/>
          <w:sz w:val="24"/>
        </w:rPr>
        <w:t>0日内，按照招选文件和中选人的投标文件商定合同和签订合同，招选人和中选人不得再行订立背离合同实质性内容的其他协议。</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30.2中选人放弃中选资格的，无正当理由不按投标须知第31.1款的规定不与招选人签订合同的，在签订合同时向招选人提出附加条件或者更改合同实质性内容的，招选人可取消其中选资格，并没收其投标保证金；给招选人的损失超过投标保证金数额的，中选人应当对超过部分予以赔偿；没有提交投标保证金的，应当对招选人的损失承担赔偿责任。</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30.3中选人在投标过程使用的投标人名称、银行名称和账号至完成竣工结算未经招选人同意不得变更，否则，招选人有权停止工程款项的拨付及至解除合同，由此造成的一切责任由中选人承担。</w:t>
      </w:r>
    </w:p>
    <w:p>
      <w:pPr>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bCs/>
          <w:sz w:val="24"/>
        </w:rPr>
      </w:pPr>
      <w:r>
        <w:rPr>
          <w:rFonts w:hint="eastAsia" w:ascii="宋体" w:hAnsi="宋体"/>
          <w:b/>
          <w:bCs/>
          <w:sz w:val="24"/>
        </w:rPr>
        <w:t>31．履约保证金</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bCs/>
          <w:sz w:val="24"/>
        </w:rPr>
      </w:pPr>
      <w:r>
        <w:rPr>
          <w:rFonts w:hint="eastAsia" w:ascii="宋体" w:hAnsi="宋体"/>
          <w:bCs/>
          <w:sz w:val="24"/>
        </w:rPr>
        <w:t>31.1本项目不设履约保证金。</w:t>
      </w:r>
    </w:p>
    <w:p>
      <w:pPr>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bCs/>
          <w:sz w:val="24"/>
        </w:rPr>
      </w:pPr>
      <w:r>
        <w:rPr>
          <w:rFonts w:hint="eastAsia" w:ascii="宋体" w:hAnsi="宋体"/>
          <w:b/>
          <w:bCs/>
          <w:sz w:val="24"/>
        </w:rPr>
        <w:t>32．合同生效</w:t>
      </w:r>
    </w:p>
    <w:p>
      <w:pPr>
        <w:pageBreakBefore w:val="0"/>
        <w:widowControl w:val="0"/>
        <w:kinsoku/>
        <w:wordWrap/>
        <w:overflowPunct/>
        <w:topLinePunct w:val="0"/>
        <w:autoSpaceDE/>
        <w:autoSpaceDN/>
        <w:bidi w:val="0"/>
        <w:adjustRightInd/>
        <w:spacing w:line="360" w:lineRule="auto"/>
        <w:ind w:left="-1" w:firstLine="480" w:firstLineChars="200"/>
        <w:textAlignment w:val="auto"/>
        <w:rPr>
          <w:rFonts w:ascii="宋体" w:hAnsi="宋体"/>
        </w:rPr>
      </w:pPr>
      <w:r>
        <w:rPr>
          <w:rFonts w:hint="eastAsia" w:ascii="宋体" w:hAnsi="宋体"/>
          <w:sz w:val="24"/>
        </w:rPr>
        <w:t>32.1在合同双方全权代表在合同协议书上签字，并分别加盖双方单位的公章，合同正式生效。</w:t>
      </w:r>
      <w:r>
        <w:rPr>
          <w:rFonts w:hint="eastAsia" w:ascii="宋体" w:hAnsi="宋体"/>
          <w:b/>
          <w:sz w:val="52"/>
          <w:szCs w:val="52"/>
        </w:rPr>
        <w:br w:type="page"/>
      </w:r>
    </w:p>
    <w:p>
      <w:pPr>
        <w:pStyle w:val="3"/>
        <w:ind w:firstLine="1470"/>
        <w:rPr>
          <w:rFonts w:ascii="宋体" w:hAnsi="宋体" w:cs="宋体"/>
        </w:rPr>
      </w:pPr>
      <w:bookmarkStart w:id="38" w:name="_Toc2026"/>
      <w:bookmarkStart w:id="39" w:name="_Toc20081"/>
      <w:bookmarkStart w:id="40" w:name="_Toc17651"/>
      <w:bookmarkStart w:id="41" w:name="_Toc499060876"/>
      <w:bookmarkStart w:id="42" w:name="_Toc15398"/>
      <w:r>
        <w:rPr>
          <w:rFonts w:hint="eastAsia" w:ascii="宋体" w:hAnsi="宋体" w:cs="宋体"/>
        </w:rPr>
        <w:t>第二章   建设工程监理合同</w:t>
      </w:r>
      <w:bookmarkEnd w:id="38"/>
      <w:bookmarkEnd w:id="39"/>
      <w:bookmarkEnd w:id="40"/>
      <w:bookmarkEnd w:id="41"/>
      <w:bookmarkEnd w:id="42"/>
    </w:p>
    <w:p>
      <w:pPr>
        <w:rPr>
          <w:sz w:val="24"/>
          <w:szCs w:val="24"/>
        </w:rPr>
      </w:pPr>
    </w:p>
    <w:p>
      <w:pPr>
        <w:jc w:val="center"/>
        <w:rPr>
          <w:rFonts w:ascii="宋体"/>
          <w:b/>
          <w:sz w:val="24"/>
          <w:szCs w:val="24"/>
        </w:rPr>
      </w:pPr>
      <w:r>
        <w:rPr>
          <w:rFonts w:hint="eastAsia"/>
          <w:sz w:val="24"/>
          <w:szCs w:val="24"/>
        </w:rPr>
        <w:t>（详见合同模板附件）</w:t>
      </w:r>
    </w:p>
    <w:p>
      <w:pPr>
        <w:pStyle w:val="20"/>
        <w:jc w:val="center"/>
        <w:rPr>
          <w:rFonts w:hAnsi="宋体" w:cs="宋体"/>
          <w:b/>
          <w:bCs/>
          <w:sz w:val="52"/>
        </w:rPr>
      </w:pPr>
    </w:p>
    <w:p>
      <w:pPr>
        <w:pStyle w:val="20"/>
        <w:jc w:val="center"/>
        <w:rPr>
          <w:rFonts w:hAnsi="宋体" w:cs="宋体"/>
          <w:b/>
          <w:bCs/>
          <w:sz w:val="52"/>
        </w:rPr>
      </w:pPr>
    </w:p>
    <w:p>
      <w:pPr>
        <w:pStyle w:val="3"/>
        <w:jc w:val="center"/>
        <w:rPr>
          <w:rFonts w:ascii="宋体" w:hAnsi="宋体" w:cs="宋体"/>
        </w:rPr>
      </w:pPr>
      <w:r>
        <w:rPr>
          <w:rFonts w:hint="eastAsia" w:ascii="宋体" w:hAnsi="宋体"/>
          <w:b w:val="0"/>
          <w:bCs w:val="0"/>
          <w:sz w:val="52"/>
        </w:rPr>
        <w:br w:type="page"/>
      </w:r>
      <w:bookmarkStart w:id="43" w:name="_Toc27639"/>
      <w:bookmarkStart w:id="44" w:name="_Toc31042"/>
      <w:bookmarkStart w:id="45" w:name="_Toc499060879"/>
      <w:bookmarkStart w:id="46" w:name="_Toc7332"/>
      <w:bookmarkStart w:id="47" w:name="_Toc18111"/>
      <w:r>
        <w:rPr>
          <w:rFonts w:hint="eastAsia" w:ascii="宋体" w:hAnsi="宋体" w:cs="宋体"/>
        </w:rPr>
        <w:t>第三章 投标文件格式</w:t>
      </w:r>
      <w:bookmarkEnd w:id="43"/>
      <w:bookmarkEnd w:id="44"/>
      <w:bookmarkEnd w:id="45"/>
      <w:bookmarkEnd w:id="46"/>
      <w:bookmarkEnd w:id="47"/>
    </w:p>
    <w:p>
      <w:pPr>
        <w:pStyle w:val="38"/>
        <w:jc w:val="center"/>
        <w:rPr>
          <w:rFonts w:ascii="宋体" w:hAnsi="宋体"/>
          <w:b/>
          <w:bCs/>
          <w:sz w:val="32"/>
        </w:rPr>
      </w:pPr>
    </w:p>
    <w:p>
      <w:pPr>
        <w:pStyle w:val="3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b/>
          <w:bCs/>
          <w:sz w:val="32"/>
        </w:rPr>
      </w:pPr>
      <w:bookmarkStart w:id="48" w:name="_Toc413963898"/>
      <w:r>
        <w:rPr>
          <w:rFonts w:hint="eastAsia" w:ascii="宋体" w:hAnsi="宋体"/>
          <w:b/>
          <w:bCs/>
          <w:sz w:val="32"/>
        </w:rPr>
        <w:t>一、资格审查文件格式</w:t>
      </w:r>
    </w:p>
    <w:p>
      <w:pPr>
        <w:pStyle w:val="3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b/>
          <w:bCs/>
          <w:sz w:val="32"/>
        </w:rPr>
      </w:pPr>
      <w:r>
        <w:rPr>
          <w:rFonts w:hint="eastAsia" w:ascii="宋体" w:hAnsi="宋体"/>
          <w:b/>
          <w:bCs/>
          <w:sz w:val="32"/>
        </w:rPr>
        <w:t>（由投标人根据招选公告要求自行编制）</w:t>
      </w:r>
      <w:bookmarkEnd w:id="48"/>
    </w:p>
    <w:p>
      <w:pPr>
        <w:pStyle w:val="3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b/>
          <w:bCs/>
          <w:sz w:val="32"/>
        </w:rPr>
      </w:pPr>
    </w:p>
    <w:p>
      <w:pPr>
        <w:pStyle w:val="3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b/>
          <w:bCs/>
          <w:sz w:val="32"/>
        </w:rPr>
      </w:pPr>
    </w:p>
    <w:p>
      <w:pPr>
        <w:pStyle w:val="3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b/>
          <w:bCs/>
          <w:sz w:val="32"/>
        </w:rPr>
      </w:pPr>
    </w:p>
    <w:p>
      <w:pPr>
        <w:pStyle w:val="3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b/>
          <w:bCs/>
          <w:sz w:val="32"/>
        </w:rPr>
      </w:pPr>
      <w:r>
        <w:rPr>
          <w:rFonts w:hint="eastAsia" w:ascii="宋体" w:hAnsi="宋体"/>
          <w:b/>
          <w:bCs/>
          <w:sz w:val="32"/>
        </w:rPr>
        <w:t>二、商务、技术标文件格式</w:t>
      </w:r>
    </w:p>
    <w:p>
      <w:pPr>
        <w:pStyle w:val="3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b/>
          <w:bCs/>
          <w:sz w:val="32"/>
        </w:rPr>
      </w:pPr>
      <w:r>
        <w:rPr>
          <w:rFonts w:hint="eastAsia" w:ascii="宋体" w:hAnsi="宋体"/>
          <w:b/>
          <w:bCs/>
          <w:sz w:val="32"/>
        </w:rPr>
        <w:t>（投标人按要求自行编制）</w:t>
      </w:r>
    </w:p>
    <w:p>
      <w:pPr>
        <w:pStyle w:val="38"/>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b/>
          <w:bCs/>
          <w:sz w:val="32"/>
        </w:rPr>
      </w:pPr>
      <w:r>
        <w:rPr>
          <w:rFonts w:hint="eastAsia" w:ascii="宋体" w:hAnsi="宋体"/>
          <w:b/>
          <w:bCs/>
          <w:sz w:val="32"/>
        </w:rPr>
        <w:t>附件一、广州建设工程监理投标书</w:t>
      </w:r>
    </w:p>
    <w:p>
      <w:pPr>
        <w:pStyle w:val="38"/>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b/>
          <w:bCs/>
          <w:sz w:val="32"/>
        </w:rPr>
      </w:pPr>
      <w:r>
        <w:rPr>
          <w:rFonts w:hint="eastAsia" w:ascii="宋体" w:hAnsi="宋体"/>
          <w:b/>
          <w:bCs/>
          <w:sz w:val="32"/>
        </w:rPr>
        <w:t>附件二、投标函</w:t>
      </w:r>
    </w:p>
    <w:p>
      <w:pPr>
        <w:pStyle w:val="38"/>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b/>
          <w:bCs/>
          <w:sz w:val="32"/>
        </w:rPr>
      </w:pPr>
      <w:r>
        <w:rPr>
          <w:rFonts w:hint="eastAsia" w:ascii="宋体" w:hAnsi="宋体"/>
          <w:b/>
          <w:bCs/>
          <w:sz w:val="32"/>
        </w:rPr>
        <w:t>附件三、授权委托书</w:t>
      </w:r>
    </w:p>
    <w:p>
      <w:pPr>
        <w:pStyle w:val="38"/>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b/>
          <w:bCs/>
          <w:sz w:val="32"/>
        </w:rPr>
      </w:pPr>
      <w:r>
        <w:rPr>
          <w:rFonts w:hint="eastAsia" w:ascii="宋体" w:hAnsi="宋体"/>
          <w:b/>
          <w:bCs/>
          <w:sz w:val="32"/>
        </w:rPr>
        <w:t>附件四、投标函承诺书</w:t>
      </w:r>
    </w:p>
    <w:p>
      <w:pPr>
        <w:pStyle w:val="38"/>
        <w:rPr>
          <w:rFonts w:ascii="宋体" w:hAnsi="宋体"/>
          <w:b/>
          <w:bCs/>
          <w:sz w:val="32"/>
        </w:rPr>
      </w:pPr>
    </w:p>
    <w:p>
      <w:pPr>
        <w:pStyle w:val="38"/>
        <w:rPr>
          <w:rFonts w:ascii="宋体" w:hAnsi="宋体"/>
          <w:b/>
          <w:bCs/>
          <w:sz w:val="32"/>
        </w:rPr>
      </w:pPr>
    </w:p>
    <w:p>
      <w:pPr>
        <w:pStyle w:val="38"/>
        <w:rPr>
          <w:rFonts w:ascii="宋体" w:hAnsi="宋体"/>
          <w:b/>
          <w:bCs/>
          <w:sz w:val="32"/>
        </w:rPr>
      </w:pPr>
    </w:p>
    <w:p>
      <w:pPr>
        <w:pStyle w:val="38"/>
        <w:rPr>
          <w:rFonts w:ascii="宋体" w:hAnsi="宋体"/>
          <w:b/>
          <w:bCs/>
          <w:sz w:val="32"/>
        </w:rPr>
      </w:pPr>
    </w:p>
    <w:p>
      <w:pPr>
        <w:pStyle w:val="38"/>
        <w:rPr>
          <w:rFonts w:ascii="宋体" w:hAnsi="宋体"/>
          <w:b/>
          <w:bCs/>
          <w:sz w:val="32"/>
        </w:rPr>
      </w:pPr>
    </w:p>
    <w:p>
      <w:pPr>
        <w:pStyle w:val="38"/>
        <w:rPr>
          <w:rFonts w:ascii="宋体" w:hAnsi="宋体"/>
          <w:b/>
          <w:bCs/>
          <w:sz w:val="32"/>
        </w:rPr>
      </w:pPr>
    </w:p>
    <w:p>
      <w:pPr>
        <w:pStyle w:val="2"/>
        <w:rPr>
          <w:rFonts w:ascii="宋体" w:hAnsi="宋体" w:eastAsia="宋体" w:cs="宋体"/>
        </w:rPr>
      </w:pPr>
      <w:bookmarkStart w:id="49" w:name="_Toc30039"/>
      <w:bookmarkStart w:id="50" w:name="_Toc22728"/>
      <w:bookmarkStart w:id="51" w:name="_Toc18963"/>
      <w:bookmarkStart w:id="52" w:name="_Toc499060880"/>
      <w:bookmarkStart w:id="53" w:name="_Toc29445"/>
      <w:r>
        <w:rPr>
          <w:rFonts w:hint="eastAsia" w:ascii="宋体" w:hAnsi="宋体" w:eastAsia="宋体" w:cs="宋体"/>
        </w:rPr>
        <w:t>附件一</w:t>
      </w:r>
    </w:p>
    <w:p>
      <w:pPr>
        <w:pStyle w:val="2"/>
        <w:jc w:val="center"/>
        <w:rPr>
          <w:rFonts w:ascii="宋体" w:hAnsi="宋体" w:eastAsia="宋体" w:cs="宋体"/>
        </w:rPr>
      </w:pPr>
      <w:r>
        <w:rPr>
          <w:rFonts w:hint="eastAsia" w:ascii="宋体" w:hAnsi="宋体" w:eastAsia="宋体" w:cs="宋体"/>
        </w:rPr>
        <w:t>广州建设工程监理投标书</w:t>
      </w:r>
      <w:bookmarkEnd w:id="49"/>
      <w:bookmarkEnd w:id="50"/>
      <w:bookmarkEnd w:id="51"/>
      <w:bookmarkEnd w:id="52"/>
      <w:bookmarkEnd w:id="53"/>
    </w:p>
    <w:tbl>
      <w:tblPr>
        <w:tblStyle w:val="42"/>
        <w:tblW w:w="8659" w:type="dxa"/>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227"/>
        <w:gridCol w:w="360"/>
        <w:gridCol w:w="1800"/>
        <w:gridCol w:w="59"/>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2127" w:type="dxa"/>
            <w:noWrap/>
            <w:vAlign w:val="center"/>
          </w:tcPr>
          <w:p>
            <w:pPr>
              <w:spacing w:line="360" w:lineRule="auto"/>
              <w:jc w:val="center"/>
              <w:rPr>
                <w:rFonts w:ascii="宋体" w:hAnsi="宋体"/>
                <w:sz w:val="24"/>
                <w:szCs w:val="28"/>
              </w:rPr>
            </w:pPr>
            <w:r>
              <w:rPr>
                <w:rFonts w:hint="eastAsia" w:ascii="宋体" w:hAnsi="宋体"/>
                <w:sz w:val="24"/>
                <w:szCs w:val="28"/>
              </w:rPr>
              <w:t>项 目 名 称</w:t>
            </w:r>
          </w:p>
        </w:tc>
        <w:tc>
          <w:tcPr>
            <w:tcW w:w="6532" w:type="dxa"/>
            <w:gridSpan w:val="5"/>
            <w:noWrap/>
            <w:vAlign w:val="center"/>
          </w:tcPr>
          <w:p>
            <w:pPr>
              <w:spacing w:line="360" w:lineRule="auto"/>
              <w:jc w:val="center"/>
              <w:rPr>
                <w:rFonts w:ascii="宋体" w:hAnsi="宋体"/>
                <w:sz w:val="24"/>
                <w:szCs w:val="28"/>
              </w:rPr>
            </w:pPr>
            <w:r>
              <w:rPr>
                <w:rFonts w:hint="eastAsia" w:ascii="宋体" w:hAnsi="宋体"/>
                <w:sz w:val="24"/>
                <w:szCs w:val="28"/>
              </w:rPr>
              <w:t>新中轴线经营性项目2023年度监理项目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127" w:type="dxa"/>
            <w:noWrap/>
            <w:vAlign w:val="center"/>
          </w:tcPr>
          <w:p>
            <w:pPr>
              <w:spacing w:line="360" w:lineRule="auto"/>
              <w:jc w:val="center"/>
              <w:rPr>
                <w:rFonts w:ascii="宋体" w:hAnsi="宋体"/>
                <w:sz w:val="24"/>
                <w:szCs w:val="28"/>
              </w:rPr>
            </w:pPr>
            <w:r>
              <w:rPr>
                <w:rFonts w:hint="eastAsia" w:ascii="宋体" w:hAnsi="宋体"/>
                <w:sz w:val="24"/>
                <w:szCs w:val="28"/>
              </w:rPr>
              <w:t>投 标 单 位</w:t>
            </w:r>
          </w:p>
          <w:p>
            <w:pPr>
              <w:spacing w:line="360" w:lineRule="auto"/>
              <w:jc w:val="center"/>
              <w:rPr>
                <w:rFonts w:ascii="宋体" w:hAnsi="宋体"/>
                <w:sz w:val="24"/>
                <w:szCs w:val="28"/>
              </w:rPr>
            </w:pPr>
            <w:r>
              <w:rPr>
                <w:rFonts w:hint="eastAsia" w:ascii="宋体" w:hAnsi="宋体"/>
                <w:sz w:val="24"/>
                <w:szCs w:val="28"/>
              </w:rPr>
              <w:t>（盖章）</w:t>
            </w:r>
          </w:p>
        </w:tc>
        <w:tc>
          <w:tcPr>
            <w:tcW w:w="2587" w:type="dxa"/>
            <w:gridSpan w:val="2"/>
            <w:noWrap/>
            <w:vAlign w:val="center"/>
          </w:tcPr>
          <w:p>
            <w:pPr>
              <w:spacing w:line="360" w:lineRule="auto"/>
              <w:jc w:val="center"/>
              <w:rPr>
                <w:rFonts w:ascii="宋体" w:hAnsi="宋体"/>
                <w:sz w:val="24"/>
                <w:szCs w:val="28"/>
              </w:rPr>
            </w:pPr>
          </w:p>
        </w:tc>
        <w:tc>
          <w:tcPr>
            <w:tcW w:w="1859" w:type="dxa"/>
            <w:gridSpan w:val="2"/>
            <w:noWrap/>
            <w:vAlign w:val="center"/>
          </w:tcPr>
          <w:p>
            <w:pPr>
              <w:spacing w:line="360" w:lineRule="auto"/>
              <w:jc w:val="center"/>
              <w:rPr>
                <w:rFonts w:ascii="宋体" w:hAnsi="宋体"/>
                <w:sz w:val="24"/>
                <w:szCs w:val="28"/>
              </w:rPr>
            </w:pPr>
            <w:r>
              <w:rPr>
                <w:rFonts w:hint="eastAsia" w:ascii="宋体" w:hAnsi="宋体"/>
                <w:sz w:val="24"/>
                <w:szCs w:val="28"/>
              </w:rPr>
              <w:t>法 人 营 业</w:t>
            </w:r>
          </w:p>
          <w:p>
            <w:pPr>
              <w:spacing w:line="360" w:lineRule="auto"/>
              <w:jc w:val="center"/>
              <w:rPr>
                <w:rFonts w:ascii="宋体" w:hAnsi="宋体"/>
                <w:sz w:val="24"/>
                <w:szCs w:val="28"/>
              </w:rPr>
            </w:pPr>
            <w:r>
              <w:rPr>
                <w:rFonts w:hint="eastAsia" w:ascii="宋体" w:hAnsi="宋体"/>
                <w:sz w:val="24"/>
                <w:szCs w:val="28"/>
              </w:rPr>
              <w:t>执 照 证 号</w:t>
            </w:r>
          </w:p>
        </w:tc>
        <w:tc>
          <w:tcPr>
            <w:tcW w:w="2086" w:type="dxa"/>
            <w:noWrap/>
            <w:vAlign w:val="center"/>
          </w:tcPr>
          <w:p>
            <w:pPr>
              <w:spacing w:line="360" w:lineRule="auto"/>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27" w:type="dxa"/>
            <w:noWrap/>
            <w:vAlign w:val="center"/>
          </w:tcPr>
          <w:p>
            <w:pPr>
              <w:spacing w:line="360" w:lineRule="auto"/>
              <w:jc w:val="center"/>
              <w:rPr>
                <w:rFonts w:ascii="宋体" w:hAnsi="宋体"/>
                <w:sz w:val="24"/>
                <w:szCs w:val="28"/>
              </w:rPr>
            </w:pPr>
            <w:r>
              <w:rPr>
                <w:rFonts w:hint="eastAsia" w:ascii="宋体" w:hAnsi="宋体"/>
                <w:sz w:val="24"/>
                <w:szCs w:val="28"/>
              </w:rPr>
              <w:t>广州市建设监理</w:t>
            </w:r>
          </w:p>
          <w:p>
            <w:pPr>
              <w:spacing w:line="360" w:lineRule="auto"/>
              <w:jc w:val="center"/>
              <w:rPr>
                <w:rFonts w:ascii="宋体" w:hAnsi="宋体"/>
                <w:sz w:val="24"/>
                <w:szCs w:val="28"/>
              </w:rPr>
            </w:pPr>
            <w:r>
              <w:rPr>
                <w:rFonts w:hint="eastAsia" w:ascii="宋体" w:hAnsi="宋体"/>
                <w:sz w:val="24"/>
                <w:szCs w:val="28"/>
              </w:rPr>
              <w:t>单位注册证书号</w:t>
            </w:r>
          </w:p>
        </w:tc>
        <w:tc>
          <w:tcPr>
            <w:tcW w:w="2587" w:type="dxa"/>
            <w:gridSpan w:val="2"/>
            <w:noWrap/>
            <w:vAlign w:val="center"/>
          </w:tcPr>
          <w:p>
            <w:pPr>
              <w:spacing w:line="360" w:lineRule="auto"/>
              <w:jc w:val="center"/>
              <w:rPr>
                <w:rFonts w:ascii="宋体" w:hAnsi="宋体"/>
                <w:sz w:val="24"/>
                <w:szCs w:val="48"/>
              </w:rPr>
            </w:pPr>
            <w:r>
              <w:rPr>
                <w:rFonts w:hint="eastAsia" w:ascii="宋体" w:hAnsi="宋体"/>
                <w:sz w:val="24"/>
                <w:szCs w:val="48"/>
              </w:rPr>
              <w:t>/</w:t>
            </w:r>
          </w:p>
        </w:tc>
        <w:tc>
          <w:tcPr>
            <w:tcW w:w="1859" w:type="dxa"/>
            <w:gridSpan w:val="2"/>
            <w:noWrap/>
            <w:vAlign w:val="center"/>
          </w:tcPr>
          <w:p>
            <w:pPr>
              <w:spacing w:line="360" w:lineRule="auto"/>
              <w:jc w:val="center"/>
              <w:rPr>
                <w:rFonts w:ascii="宋体" w:hAnsi="宋体"/>
                <w:sz w:val="24"/>
                <w:szCs w:val="28"/>
              </w:rPr>
            </w:pPr>
            <w:r>
              <w:rPr>
                <w:rFonts w:hint="eastAsia" w:ascii="宋体" w:hAnsi="宋体"/>
                <w:sz w:val="24"/>
                <w:szCs w:val="28"/>
              </w:rPr>
              <w:t>资 质 等 级</w:t>
            </w:r>
          </w:p>
          <w:p>
            <w:pPr>
              <w:spacing w:line="360" w:lineRule="auto"/>
              <w:jc w:val="center"/>
              <w:rPr>
                <w:rFonts w:ascii="宋体" w:hAnsi="宋体"/>
                <w:sz w:val="24"/>
                <w:szCs w:val="28"/>
              </w:rPr>
            </w:pPr>
            <w:r>
              <w:rPr>
                <w:rFonts w:hint="eastAsia" w:ascii="宋体" w:hAnsi="宋体"/>
                <w:sz w:val="24"/>
                <w:szCs w:val="28"/>
              </w:rPr>
              <w:t>及 证 书 号</w:t>
            </w:r>
          </w:p>
        </w:tc>
        <w:tc>
          <w:tcPr>
            <w:tcW w:w="2086" w:type="dxa"/>
            <w:noWrap/>
            <w:vAlign w:val="center"/>
          </w:tcPr>
          <w:p>
            <w:pPr>
              <w:spacing w:line="360" w:lineRule="auto"/>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27" w:type="dxa"/>
            <w:vMerge w:val="restart"/>
            <w:noWrap/>
            <w:vAlign w:val="center"/>
          </w:tcPr>
          <w:p>
            <w:pPr>
              <w:spacing w:line="360" w:lineRule="auto"/>
              <w:jc w:val="center"/>
              <w:rPr>
                <w:rFonts w:ascii="宋体" w:hAnsi="宋体"/>
                <w:sz w:val="24"/>
                <w:szCs w:val="28"/>
              </w:rPr>
            </w:pPr>
            <w:r>
              <w:rPr>
                <w:rFonts w:hint="eastAsia" w:ascii="宋体" w:hAnsi="宋体"/>
                <w:sz w:val="24"/>
                <w:szCs w:val="28"/>
              </w:rPr>
              <w:t>投标项目建安费</w:t>
            </w:r>
          </w:p>
          <w:p>
            <w:pPr>
              <w:spacing w:line="360" w:lineRule="auto"/>
              <w:jc w:val="center"/>
              <w:rPr>
                <w:rFonts w:ascii="宋体" w:hAnsi="宋体"/>
                <w:sz w:val="24"/>
                <w:szCs w:val="28"/>
              </w:rPr>
            </w:pPr>
            <w:r>
              <w:rPr>
                <w:rFonts w:hint="eastAsia" w:ascii="宋体" w:hAnsi="宋体"/>
                <w:sz w:val="24"/>
                <w:szCs w:val="28"/>
              </w:rPr>
              <w:t>（万 元）</w:t>
            </w:r>
          </w:p>
        </w:tc>
        <w:tc>
          <w:tcPr>
            <w:tcW w:w="2587" w:type="dxa"/>
            <w:gridSpan w:val="2"/>
            <w:vMerge w:val="restart"/>
            <w:noWrap/>
            <w:vAlign w:val="center"/>
          </w:tcPr>
          <w:p>
            <w:pPr>
              <w:spacing w:line="360" w:lineRule="auto"/>
              <w:jc w:val="center"/>
              <w:rPr>
                <w:rFonts w:ascii="宋体" w:hAnsi="宋体"/>
                <w:sz w:val="24"/>
                <w:szCs w:val="28"/>
              </w:rPr>
            </w:pPr>
            <w:r>
              <w:rPr>
                <w:rFonts w:hint="eastAsia" w:ascii="宋体" w:hAnsi="宋体"/>
                <w:sz w:val="24"/>
                <w:szCs w:val="28"/>
              </w:rPr>
              <w:t>3955</w:t>
            </w:r>
          </w:p>
        </w:tc>
        <w:tc>
          <w:tcPr>
            <w:tcW w:w="1859" w:type="dxa"/>
            <w:gridSpan w:val="2"/>
            <w:noWrap/>
            <w:vAlign w:val="center"/>
          </w:tcPr>
          <w:p>
            <w:pPr>
              <w:spacing w:line="360" w:lineRule="auto"/>
              <w:jc w:val="center"/>
              <w:rPr>
                <w:rFonts w:ascii="宋体" w:hAnsi="宋体"/>
                <w:sz w:val="24"/>
                <w:szCs w:val="28"/>
              </w:rPr>
            </w:pPr>
            <w:r>
              <w:rPr>
                <w:rFonts w:hint="eastAsia" w:ascii="宋体" w:hAnsi="宋体"/>
                <w:sz w:val="24"/>
                <w:szCs w:val="28"/>
              </w:rPr>
              <w:t>监 理 报 价</w:t>
            </w:r>
          </w:p>
          <w:p>
            <w:pPr>
              <w:spacing w:line="360" w:lineRule="auto"/>
              <w:jc w:val="center"/>
              <w:rPr>
                <w:rFonts w:ascii="宋体" w:hAnsi="宋体"/>
                <w:sz w:val="24"/>
                <w:szCs w:val="28"/>
              </w:rPr>
            </w:pPr>
            <w:r>
              <w:rPr>
                <w:rFonts w:hint="eastAsia" w:ascii="宋体" w:hAnsi="宋体"/>
                <w:sz w:val="24"/>
                <w:szCs w:val="28"/>
              </w:rPr>
              <w:t>（万元）</w:t>
            </w:r>
          </w:p>
        </w:tc>
        <w:tc>
          <w:tcPr>
            <w:tcW w:w="2086" w:type="dxa"/>
            <w:noWrap/>
            <w:vAlign w:val="center"/>
          </w:tcPr>
          <w:p>
            <w:pPr>
              <w:spacing w:line="360" w:lineRule="auto"/>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27" w:type="dxa"/>
            <w:vMerge w:val="continue"/>
            <w:noWrap/>
            <w:vAlign w:val="center"/>
          </w:tcPr>
          <w:p>
            <w:pPr>
              <w:spacing w:line="360" w:lineRule="auto"/>
              <w:jc w:val="center"/>
              <w:rPr>
                <w:rFonts w:ascii="宋体" w:hAnsi="宋体"/>
                <w:sz w:val="24"/>
                <w:szCs w:val="28"/>
              </w:rPr>
            </w:pPr>
          </w:p>
        </w:tc>
        <w:tc>
          <w:tcPr>
            <w:tcW w:w="2587" w:type="dxa"/>
            <w:gridSpan w:val="2"/>
            <w:vMerge w:val="continue"/>
            <w:noWrap/>
            <w:vAlign w:val="center"/>
          </w:tcPr>
          <w:p>
            <w:pPr>
              <w:spacing w:line="360" w:lineRule="auto"/>
              <w:jc w:val="center"/>
              <w:rPr>
                <w:rFonts w:ascii="宋体" w:hAnsi="宋体"/>
                <w:sz w:val="24"/>
                <w:szCs w:val="28"/>
              </w:rPr>
            </w:pPr>
          </w:p>
        </w:tc>
        <w:tc>
          <w:tcPr>
            <w:tcW w:w="1859" w:type="dxa"/>
            <w:gridSpan w:val="2"/>
            <w:noWrap/>
            <w:vAlign w:val="center"/>
          </w:tcPr>
          <w:p>
            <w:pPr>
              <w:spacing w:line="360" w:lineRule="auto"/>
              <w:jc w:val="center"/>
              <w:rPr>
                <w:rFonts w:ascii="宋体" w:hAnsi="宋体"/>
                <w:sz w:val="24"/>
                <w:szCs w:val="28"/>
              </w:rPr>
            </w:pPr>
            <w:r>
              <w:rPr>
                <w:rFonts w:hint="eastAsia" w:ascii="宋体" w:hAnsi="宋体"/>
                <w:sz w:val="24"/>
                <w:szCs w:val="28"/>
              </w:rPr>
              <w:t>监 理 费 率</w:t>
            </w:r>
          </w:p>
          <w:p>
            <w:pPr>
              <w:spacing w:line="360" w:lineRule="auto"/>
              <w:jc w:val="center"/>
              <w:rPr>
                <w:rFonts w:ascii="宋体" w:hAnsi="宋体"/>
                <w:sz w:val="24"/>
                <w:szCs w:val="28"/>
              </w:rPr>
            </w:pPr>
            <w:r>
              <w:rPr>
                <w:rFonts w:hint="eastAsia" w:ascii="宋体" w:hAnsi="宋体"/>
                <w:sz w:val="24"/>
                <w:szCs w:val="28"/>
              </w:rPr>
              <w:t>（%）</w:t>
            </w:r>
          </w:p>
        </w:tc>
        <w:tc>
          <w:tcPr>
            <w:tcW w:w="2086" w:type="dxa"/>
            <w:noWrap/>
            <w:vAlign w:val="center"/>
          </w:tcPr>
          <w:p>
            <w:pPr>
              <w:spacing w:line="360" w:lineRule="auto"/>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127" w:type="dxa"/>
            <w:noWrap/>
            <w:vAlign w:val="center"/>
          </w:tcPr>
          <w:p>
            <w:pPr>
              <w:spacing w:line="360" w:lineRule="auto"/>
              <w:jc w:val="center"/>
              <w:rPr>
                <w:rFonts w:ascii="宋体" w:hAnsi="宋体"/>
                <w:sz w:val="24"/>
                <w:szCs w:val="28"/>
              </w:rPr>
            </w:pPr>
            <w:r>
              <w:rPr>
                <w:rFonts w:hint="eastAsia" w:ascii="宋体" w:hAnsi="宋体"/>
                <w:sz w:val="24"/>
                <w:szCs w:val="28"/>
              </w:rPr>
              <w:t>监 理 工 期</w:t>
            </w:r>
          </w:p>
        </w:tc>
        <w:tc>
          <w:tcPr>
            <w:tcW w:w="2587" w:type="dxa"/>
            <w:gridSpan w:val="2"/>
            <w:noWrap/>
            <w:vAlign w:val="center"/>
          </w:tcPr>
          <w:p>
            <w:pPr>
              <w:spacing w:line="360" w:lineRule="auto"/>
              <w:jc w:val="left"/>
              <w:rPr>
                <w:rFonts w:ascii="宋体" w:hAnsi="宋体"/>
                <w:sz w:val="24"/>
                <w:szCs w:val="28"/>
              </w:rPr>
            </w:pPr>
            <w:r>
              <w:rPr>
                <w:rFonts w:hint="eastAsia" w:ascii="宋体" w:hAnsi="宋体"/>
                <w:sz w:val="24"/>
                <w:szCs w:val="28"/>
              </w:rPr>
              <w:t>按招选文件要求（自监理中选之日起至工程保修期满的全过程）</w:t>
            </w:r>
          </w:p>
        </w:tc>
        <w:tc>
          <w:tcPr>
            <w:tcW w:w="1859" w:type="dxa"/>
            <w:gridSpan w:val="2"/>
            <w:noWrap/>
            <w:vAlign w:val="center"/>
          </w:tcPr>
          <w:p>
            <w:pPr>
              <w:spacing w:line="360" w:lineRule="auto"/>
              <w:jc w:val="center"/>
              <w:rPr>
                <w:rFonts w:ascii="宋体" w:hAnsi="宋体"/>
                <w:sz w:val="24"/>
                <w:szCs w:val="28"/>
              </w:rPr>
            </w:pPr>
            <w:r>
              <w:rPr>
                <w:rFonts w:hint="eastAsia" w:ascii="宋体" w:hAnsi="宋体"/>
                <w:sz w:val="24"/>
                <w:szCs w:val="28"/>
              </w:rPr>
              <w:t>监 理 质 量</w:t>
            </w:r>
          </w:p>
          <w:p>
            <w:pPr>
              <w:spacing w:line="360" w:lineRule="auto"/>
              <w:jc w:val="center"/>
              <w:rPr>
                <w:rFonts w:ascii="宋体" w:hAnsi="宋体"/>
                <w:sz w:val="24"/>
                <w:szCs w:val="28"/>
              </w:rPr>
            </w:pPr>
            <w:r>
              <w:rPr>
                <w:rFonts w:hint="eastAsia" w:ascii="宋体" w:hAnsi="宋体"/>
                <w:sz w:val="24"/>
                <w:szCs w:val="28"/>
              </w:rPr>
              <w:t>目   标</w:t>
            </w:r>
          </w:p>
        </w:tc>
        <w:tc>
          <w:tcPr>
            <w:tcW w:w="2086" w:type="dxa"/>
            <w:noWrap/>
            <w:vAlign w:val="center"/>
          </w:tcPr>
          <w:p>
            <w:pPr>
              <w:spacing w:line="360" w:lineRule="auto"/>
              <w:jc w:val="center"/>
              <w:rPr>
                <w:rFonts w:ascii="宋体" w:hAnsi="宋体"/>
                <w:sz w:val="24"/>
                <w:szCs w:val="28"/>
              </w:rPr>
            </w:pPr>
            <w:r>
              <w:rPr>
                <w:rFonts w:hint="eastAsia" w:ascii="宋体" w:hAnsi="宋体"/>
                <w:sz w:val="24"/>
                <w:szCs w:val="2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27" w:type="dxa"/>
            <w:noWrap/>
            <w:vAlign w:val="center"/>
          </w:tcPr>
          <w:p>
            <w:pPr>
              <w:spacing w:line="360" w:lineRule="auto"/>
              <w:jc w:val="center"/>
              <w:rPr>
                <w:rFonts w:ascii="宋体" w:hAnsi="宋体"/>
                <w:sz w:val="24"/>
                <w:szCs w:val="28"/>
              </w:rPr>
            </w:pPr>
            <w:r>
              <w:rPr>
                <w:rFonts w:hint="eastAsia" w:ascii="宋体" w:hAnsi="宋体"/>
                <w:sz w:val="24"/>
                <w:szCs w:val="28"/>
              </w:rPr>
              <w:t>驻 场 机 构</w:t>
            </w:r>
          </w:p>
          <w:p>
            <w:pPr>
              <w:spacing w:line="360" w:lineRule="auto"/>
              <w:jc w:val="center"/>
              <w:rPr>
                <w:rFonts w:ascii="宋体" w:hAnsi="宋体"/>
                <w:sz w:val="24"/>
                <w:szCs w:val="28"/>
              </w:rPr>
            </w:pPr>
            <w:r>
              <w:rPr>
                <w:rFonts w:hint="eastAsia" w:ascii="宋体" w:hAnsi="宋体"/>
                <w:sz w:val="24"/>
                <w:szCs w:val="28"/>
              </w:rPr>
              <w:t>人 数（人）</w:t>
            </w:r>
          </w:p>
        </w:tc>
        <w:tc>
          <w:tcPr>
            <w:tcW w:w="2587" w:type="dxa"/>
            <w:gridSpan w:val="2"/>
            <w:noWrap/>
            <w:vAlign w:val="center"/>
          </w:tcPr>
          <w:p>
            <w:pPr>
              <w:spacing w:line="360" w:lineRule="auto"/>
              <w:jc w:val="center"/>
              <w:rPr>
                <w:rFonts w:ascii="宋体" w:hAnsi="宋体"/>
                <w:sz w:val="24"/>
                <w:szCs w:val="28"/>
              </w:rPr>
            </w:pPr>
          </w:p>
        </w:tc>
        <w:tc>
          <w:tcPr>
            <w:tcW w:w="1859" w:type="dxa"/>
            <w:gridSpan w:val="2"/>
            <w:noWrap/>
            <w:vAlign w:val="center"/>
          </w:tcPr>
          <w:p>
            <w:pPr>
              <w:spacing w:line="360" w:lineRule="auto"/>
              <w:jc w:val="center"/>
              <w:rPr>
                <w:rFonts w:ascii="宋体" w:hAnsi="宋体"/>
                <w:sz w:val="24"/>
                <w:szCs w:val="28"/>
              </w:rPr>
            </w:pPr>
            <w:r>
              <w:rPr>
                <w:rFonts w:hint="eastAsia" w:ascii="宋体" w:hAnsi="宋体"/>
                <w:sz w:val="24"/>
                <w:szCs w:val="28"/>
              </w:rPr>
              <w:t>监理工程师</w:t>
            </w:r>
          </w:p>
          <w:p>
            <w:pPr>
              <w:spacing w:line="360" w:lineRule="auto"/>
              <w:jc w:val="center"/>
              <w:rPr>
                <w:rFonts w:ascii="宋体" w:hAnsi="宋体"/>
                <w:sz w:val="24"/>
                <w:szCs w:val="28"/>
              </w:rPr>
            </w:pPr>
            <w:r>
              <w:rPr>
                <w:rFonts w:hint="eastAsia" w:ascii="宋体" w:hAnsi="宋体"/>
                <w:sz w:val="24"/>
                <w:szCs w:val="28"/>
              </w:rPr>
              <w:t>人 数（人）</w:t>
            </w:r>
          </w:p>
        </w:tc>
        <w:tc>
          <w:tcPr>
            <w:tcW w:w="2086" w:type="dxa"/>
            <w:noWrap/>
            <w:vAlign w:val="center"/>
          </w:tcPr>
          <w:p>
            <w:pPr>
              <w:spacing w:line="360" w:lineRule="auto"/>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27" w:type="dxa"/>
            <w:vMerge w:val="restart"/>
            <w:noWrap/>
            <w:vAlign w:val="center"/>
          </w:tcPr>
          <w:p>
            <w:pPr>
              <w:spacing w:line="360" w:lineRule="auto"/>
              <w:jc w:val="center"/>
              <w:rPr>
                <w:rFonts w:ascii="宋体" w:hAnsi="宋体"/>
                <w:sz w:val="24"/>
                <w:szCs w:val="28"/>
              </w:rPr>
            </w:pPr>
            <w:r>
              <w:rPr>
                <w:rFonts w:hint="eastAsia" w:ascii="宋体" w:hAnsi="宋体"/>
                <w:sz w:val="24"/>
                <w:szCs w:val="28"/>
              </w:rPr>
              <w:t>拟委派的项目</w:t>
            </w:r>
          </w:p>
          <w:p>
            <w:pPr>
              <w:spacing w:line="360" w:lineRule="auto"/>
              <w:jc w:val="center"/>
              <w:rPr>
                <w:rFonts w:ascii="宋体" w:hAnsi="宋体"/>
                <w:sz w:val="24"/>
                <w:szCs w:val="28"/>
              </w:rPr>
            </w:pPr>
            <w:r>
              <w:rPr>
                <w:rFonts w:hint="eastAsia" w:ascii="宋体" w:hAnsi="宋体"/>
                <w:sz w:val="24"/>
                <w:szCs w:val="28"/>
              </w:rPr>
              <w:t>总监理工程师</w:t>
            </w:r>
          </w:p>
        </w:tc>
        <w:tc>
          <w:tcPr>
            <w:tcW w:w="2587" w:type="dxa"/>
            <w:gridSpan w:val="2"/>
            <w:noWrap/>
            <w:vAlign w:val="center"/>
          </w:tcPr>
          <w:p>
            <w:pPr>
              <w:spacing w:line="360" w:lineRule="auto"/>
              <w:jc w:val="center"/>
              <w:rPr>
                <w:rFonts w:ascii="宋体" w:hAnsi="宋体"/>
                <w:sz w:val="24"/>
                <w:szCs w:val="28"/>
              </w:rPr>
            </w:pPr>
            <w:r>
              <w:rPr>
                <w:rFonts w:hint="eastAsia" w:ascii="宋体" w:hAnsi="宋体"/>
                <w:sz w:val="24"/>
                <w:szCs w:val="28"/>
              </w:rPr>
              <w:t>姓    名</w:t>
            </w:r>
          </w:p>
        </w:tc>
        <w:tc>
          <w:tcPr>
            <w:tcW w:w="3945" w:type="dxa"/>
            <w:gridSpan w:val="3"/>
            <w:noWrap/>
            <w:vAlign w:val="center"/>
          </w:tcPr>
          <w:p>
            <w:pPr>
              <w:spacing w:line="360" w:lineRule="auto"/>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27" w:type="dxa"/>
            <w:vMerge w:val="continue"/>
            <w:noWrap/>
            <w:vAlign w:val="center"/>
          </w:tcPr>
          <w:p>
            <w:pPr>
              <w:spacing w:line="360" w:lineRule="auto"/>
              <w:jc w:val="center"/>
              <w:rPr>
                <w:rFonts w:ascii="宋体" w:hAnsi="宋体"/>
                <w:sz w:val="24"/>
                <w:szCs w:val="28"/>
              </w:rPr>
            </w:pPr>
          </w:p>
        </w:tc>
        <w:tc>
          <w:tcPr>
            <w:tcW w:w="2587" w:type="dxa"/>
            <w:gridSpan w:val="2"/>
            <w:noWrap/>
            <w:vAlign w:val="center"/>
          </w:tcPr>
          <w:p>
            <w:pPr>
              <w:spacing w:line="360" w:lineRule="auto"/>
              <w:jc w:val="center"/>
              <w:rPr>
                <w:rFonts w:ascii="宋体" w:hAnsi="宋体"/>
                <w:sz w:val="24"/>
                <w:szCs w:val="28"/>
              </w:rPr>
            </w:pPr>
            <w:r>
              <w:rPr>
                <w:rFonts w:hint="eastAsia" w:ascii="宋体" w:hAnsi="宋体"/>
                <w:sz w:val="24"/>
                <w:szCs w:val="28"/>
              </w:rPr>
              <w:t>技术职称</w:t>
            </w:r>
          </w:p>
        </w:tc>
        <w:tc>
          <w:tcPr>
            <w:tcW w:w="3945" w:type="dxa"/>
            <w:gridSpan w:val="3"/>
            <w:noWrap/>
            <w:vAlign w:val="center"/>
          </w:tcPr>
          <w:p>
            <w:pPr>
              <w:spacing w:line="360" w:lineRule="auto"/>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27" w:type="dxa"/>
            <w:vMerge w:val="continue"/>
            <w:noWrap/>
            <w:vAlign w:val="center"/>
          </w:tcPr>
          <w:p>
            <w:pPr>
              <w:spacing w:line="360" w:lineRule="auto"/>
              <w:jc w:val="center"/>
              <w:rPr>
                <w:rFonts w:ascii="宋体" w:hAnsi="宋体"/>
                <w:sz w:val="24"/>
                <w:szCs w:val="28"/>
              </w:rPr>
            </w:pPr>
          </w:p>
        </w:tc>
        <w:tc>
          <w:tcPr>
            <w:tcW w:w="2587" w:type="dxa"/>
            <w:gridSpan w:val="2"/>
            <w:noWrap/>
            <w:vAlign w:val="center"/>
          </w:tcPr>
          <w:p>
            <w:pPr>
              <w:spacing w:line="360" w:lineRule="auto"/>
              <w:jc w:val="center"/>
              <w:rPr>
                <w:rFonts w:ascii="宋体" w:hAnsi="宋体"/>
                <w:sz w:val="24"/>
                <w:szCs w:val="28"/>
              </w:rPr>
            </w:pPr>
            <w:r>
              <w:rPr>
                <w:rFonts w:hint="eastAsia" w:ascii="宋体" w:hAnsi="宋体"/>
                <w:sz w:val="24"/>
                <w:szCs w:val="28"/>
              </w:rPr>
              <w:t>注册证号</w:t>
            </w:r>
          </w:p>
        </w:tc>
        <w:tc>
          <w:tcPr>
            <w:tcW w:w="3945" w:type="dxa"/>
            <w:gridSpan w:val="3"/>
            <w:noWrap/>
            <w:vAlign w:val="center"/>
          </w:tcPr>
          <w:p>
            <w:pPr>
              <w:spacing w:line="360" w:lineRule="auto"/>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2127" w:type="dxa"/>
            <w:noWrap/>
            <w:vAlign w:val="center"/>
          </w:tcPr>
          <w:p>
            <w:pPr>
              <w:spacing w:line="360" w:lineRule="auto"/>
              <w:jc w:val="center"/>
              <w:rPr>
                <w:rFonts w:ascii="宋体" w:hAnsi="宋体"/>
                <w:sz w:val="24"/>
                <w:szCs w:val="28"/>
              </w:rPr>
            </w:pPr>
            <w:r>
              <w:rPr>
                <w:rFonts w:hint="eastAsia" w:ascii="宋体" w:hAnsi="宋体"/>
                <w:sz w:val="24"/>
                <w:szCs w:val="28"/>
              </w:rPr>
              <w:t>需要建设单位提</w:t>
            </w:r>
          </w:p>
          <w:p>
            <w:pPr>
              <w:spacing w:line="360" w:lineRule="auto"/>
              <w:jc w:val="center"/>
              <w:rPr>
                <w:rFonts w:ascii="宋体" w:hAnsi="宋体"/>
                <w:sz w:val="24"/>
                <w:szCs w:val="28"/>
              </w:rPr>
            </w:pPr>
            <w:r>
              <w:rPr>
                <w:rFonts w:hint="eastAsia" w:ascii="宋体" w:hAnsi="宋体"/>
                <w:sz w:val="24"/>
                <w:szCs w:val="28"/>
              </w:rPr>
              <w:t>供的配合条件</w:t>
            </w:r>
          </w:p>
        </w:tc>
        <w:tc>
          <w:tcPr>
            <w:tcW w:w="6532" w:type="dxa"/>
            <w:gridSpan w:val="5"/>
            <w:noWrap/>
            <w:vAlign w:val="center"/>
          </w:tcPr>
          <w:p>
            <w:pPr>
              <w:spacing w:line="360" w:lineRule="auto"/>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noWrap/>
            <w:vAlign w:val="center"/>
          </w:tcPr>
          <w:p>
            <w:pPr>
              <w:spacing w:line="360" w:lineRule="auto"/>
              <w:jc w:val="center"/>
              <w:rPr>
                <w:rFonts w:ascii="宋体" w:hAnsi="宋体"/>
                <w:sz w:val="24"/>
                <w:szCs w:val="28"/>
              </w:rPr>
            </w:pPr>
            <w:r>
              <w:rPr>
                <w:rFonts w:hint="eastAsia" w:ascii="宋体" w:hAnsi="宋体"/>
                <w:sz w:val="24"/>
                <w:szCs w:val="28"/>
              </w:rPr>
              <w:t>投标单位法定代表人（签名或盖章）</w:t>
            </w:r>
          </w:p>
        </w:tc>
        <w:tc>
          <w:tcPr>
            <w:tcW w:w="2227" w:type="dxa"/>
            <w:noWrap/>
            <w:vAlign w:val="center"/>
          </w:tcPr>
          <w:p>
            <w:pPr>
              <w:spacing w:line="360" w:lineRule="auto"/>
              <w:jc w:val="center"/>
              <w:rPr>
                <w:rFonts w:ascii="宋体" w:hAnsi="宋体"/>
                <w:sz w:val="24"/>
                <w:szCs w:val="28"/>
              </w:rPr>
            </w:pPr>
          </w:p>
        </w:tc>
        <w:tc>
          <w:tcPr>
            <w:tcW w:w="2160" w:type="dxa"/>
            <w:gridSpan w:val="2"/>
            <w:noWrap/>
            <w:vAlign w:val="center"/>
          </w:tcPr>
          <w:p>
            <w:pPr>
              <w:spacing w:line="360" w:lineRule="auto"/>
              <w:jc w:val="center"/>
              <w:rPr>
                <w:rFonts w:ascii="宋体" w:hAnsi="宋体"/>
                <w:sz w:val="24"/>
                <w:szCs w:val="28"/>
              </w:rPr>
            </w:pPr>
            <w:r>
              <w:rPr>
                <w:rFonts w:hint="eastAsia" w:ascii="宋体" w:hAnsi="宋体"/>
                <w:sz w:val="24"/>
                <w:szCs w:val="28"/>
              </w:rPr>
              <w:t>授权委托人</w:t>
            </w:r>
          </w:p>
          <w:p>
            <w:pPr>
              <w:spacing w:line="360" w:lineRule="auto"/>
              <w:jc w:val="center"/>
              <w:rPr>
                <w:rFonts w:ascii="宋体" w:hAnsi="宋体"/>
                <w:sz w:val="24"/>
                <w:szCs w:val="28"/>
              </w:rPr>
            </w:pPr>
            <w:r>
              <w:rPr>
                <w:rFonts w:hint="eastAsia" w:ascii="宋体" w:hAnsi="宋体"/>
                <w:sz w:val="24"/>
                <w:szCs w:val="28"/>
              </w:rPr>
              <w:t>（签名或盖章）</w:t>
            </w:r>
          </w:p>
        </w:tc>
        <w:tc>
          <w:tcPr>
            <w:tcW w:w="2145" w:type="dxa"/>
            <w:gridSpan w:val="2"/>
            <w:noWrap/>
            <w:vAlign w:val="center"/>
          </w:tcPr>
          <w:p>
            <w:pPr>
              <w:spacing w:line="360" w:lineRule="auto"/>
              <w:jc w:val="center"/>
              <w:rPr>
                <w:rFonts w:ascii="宋体" w:hAnsi="宋体"/>
                <w:sz w:val="24"/>
                <w:szCs w:val="28"/>
              </w:rPr>
            </w:pPr>
          </w:p>
        </w:tc>
      </w:tr>
    </w:tbl>
    <w:p>
      <w:pPr>
        <w:ind w:firstLine="4480"/>
        <w:rPr>
          <w:rFonts w:hint="eastAsia" w:ascii="宋体" w:hAnsi="宋体"/>
          <w:sz w:val="24"/>
          <w:szCs w:val="24"/>
        </w:rPr>
      </w:pPr>
    </w:p>
    <w:p>
      <w:pPr>
        <w:ind w:firstLine="4480"/>
        <w:rPr>
          <w:rFonts w:ascii="宋体" w:hAnsi="宋体"/>
          <w:sz w:val="24"/>
          <w:szCs w:val="24"/>
        </w:rPr>
      </w:pPr>
      <w:r>
        <w:rPr>
          <w:rFonts w:hint="eastAsia" w:ascii="宋体" w:hAnsi="宋体"/>
          <w:sz w:val="24"/>
          <w:szCs w:val="24"/>
        </w:rPr>
        <w:t xml:space="preserve">投标日期：   </w:t>
      </w:r>
      <w:r>
        <w:rPr>
          <w:rFonts w:hint="eastAsia" w:ascii="宋体" w:hAnsi="宋体"/>
          <w:sz w:val="24"/>
          <w:szCs w:val="24"/>
          <w:lang w:val="en-US" w:eastAsia="zh-CN"/>
        </w:rPr>
        <w:t xml:space="preserve">  </w:t>
      </w:r>
      <w:r>
        <w:rPr>
          <w:rFonts w:hint="eastAsia" w:ascii="宋体" w:hAnsi="宋体"/>
          <w:sz w:val="24"/>
          <w:szCs w:val="24"/>
        </w:rPr>
        <w:t xml:space="preserve"> 年   </w:t>
      </w:r>
      <w:r>
        <w:rPr>
          <w:rFonts w:hint="eastAsia" w:ascii="宋体" w:hAnsi="宋体"/>
          <w:sz w:val="24"/>
          <w:szCs w:val="24"/>
          <w:lang w:val="en-US" w:eastAsia="zh-CN"/>
        </w:rPr>
        <w:t xml:space="preserve"> </w:t>
      </w:r>
      <w:r>
        <w:rPr>
          <w:rFonts w:hint="eastAsia" w:ascii="宋体" w:hAnsi="宋体"/>
          <w:sz w:val="24"/>
          <w:szCs w:val="24"/>
        </w:rPr>
        <w:t xml:space="preserve"> 月  </w:t>
      </w:r>
      <w:r>
        <w:rPr>
          <w:rFonts w:hint="eastAsia" w:ascii="宋体" w:hAnsi="宋体"/>
          <w:sz w:val="24"/>
          <w:szCs w:val="24"/>
          <w:lang w:val="en-US" w:eastAsia="zh-CN"/>
        </w:rPr>
        <w:t xml:space="preserve">  </w:t>
      </w:r>
      <w:r>
        <w:rPr>
          <w:rFonts w:hint="eastAsia" w:ascii="宋体" w:hAnsi="宋体"/>
          <w:sz w:val="24"/>
          <w:szCs w:val="24"/>
        </w:rPr>
        <w:t xml:space="preserve"> 日</w:t>
      </w:r>
    </w:p>
    <w:p>
      <w:pPr>
        <w:pStyle w:val="2"/>
        <w:jc w:val="left"/>
        <w:rPr>
          <w:rFonts w:ascii="宋体" w:hAnsi="宋体" w:eastAsia="宋体" w:cs="宋体"/>
        </w:rPr>
      </w:pPr>
      <w:bookmarkStart w:id="54" w:name="_Toc2609"/>
      <w:bookmarkStart w:id="55" w:name="_Toc19327"/>
      <w:bookmarkStart w:id="56" w:name="_Toc499060881"/>
      <w:bookmarkStart w:id="57" w:name="_Toc4936"/>
      <w:bookmarkStart w:id="58" w:name="_Toc29579"/>
      <w:r>
        <w:rPr>
          <w:rFonts w:hint="eastAsia" w:ascii="宋体" w:hAnsi="宋体" w:eastAsia="宋体" w:cs="宋体"/>
        </w:rPr>
        <w:t>附件二</w:t>
      </w:r>
    </w:p>
    <w:p>
      <w:pPr>
        <w:pStyle w:val="2"/>
        <w:jc w:val="center"/>
        <w:rPr>
          <w:rFonts w:ascii="宋体" w:hAnsi="宋体" w:eastAsia="宋体" w:cs="宋体"/>
          <w:sz w:val="44"/>
          <w:szCs w:val="44"/>
        </w:rPr>
      </w:pPr>
      <w:r>
        <w:rPr>
          <w:rFonts w:hint="eastAsia" w:ascii="宋体" w:hAnsi="宋体" w:eastAsia="宋体" w:cs="宋体"/>
          <w:sz w:val="44"/>
          <w:szCs w:val="44"/>
        </w:rPr>
        <w:t>投标函</w:t>
      </w:r>
      <w:bookmarkEnd w:id="54"/>
      <w:bookmarkEnd w:id="55"/>
      <w:bookmarkEnd w:id="56"/>
      <w:bookmarkEnd w:id="57"/>
      <w:bookmarkEnd w:id="58"/>
    </w:p>
    <w:p>
      <w:pPr>
        <w:rPr>
          <w:rFonts w:ascii="宋体" w:hAnsi="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4"/>
        </w:rPr>
      </w:pPr>
      <w:r>
        <w:rPr>
          <w:rFonts w:hint="eastAsia" w:ascii="宋体" w:hAnsi="宋体"/>
          <w:sz w:val="24"/>
        </w:rPr>
        <w:t>广州市城投资产经营管理有限公司珠江新城分公司：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（一）根据已收到的</w:t>
      </w:r>
      <w:r>
        <w:rPr>
          <w:rFonts w:hint="eastAsia" w:ascii="宋体" w:hAnsi="宋体"/>
          <w:sz w:val="24"/>
          <w:u w:val="single"/>
        </w:rPr>
        <w:t>新中轴线经营性项目2023年度监理项目</w:t>
      </w:r>
      <w:r>
        <w:rPr>
          <w:rFonts w:hint="eastAsia" w:ascii="宋体" w:hAnsi="宋体"/>
          <w:sz w:val="24"/>
        </w:rPr>
        <w:t>的招选文件，我单位经研究招选文件和有关资料后，以该工程监理招选文件上的工程估算价</w:t>
      </w:r>
      <w:r>
        <w:rPr>
          <w:rFonts w:hint="eastAsia" w:ascii="宋体" w:hAnsi="宋体"/>
          <w:sz w:val="24"/>
          <w:u w:val="single"/>
        </w:rPr>
        <w:t>3955万元</w:t>
      </w:r>
      <w:r>
        <w:rPr>
          <w:rFonts w:hint="eastAsia" w:ascii="宋体" w:hAnsi="宋体"/>
          <w:sz w:val="24"/>
        </w:rPr>
        <w:t>为计费基数，</w:t>
      </w:r>
      <w:r>
        <w:rPr>
          <w:rFonts w:hint="eastAsia" w:ascii="宋体" w:hAnsi="宋体"/>
          <w:bCs/>
          <w:sz w:val="24"/>
        </w:rPr>
        <w:t>本项目招选控制价为</w:t>
      </w:r>
      <w:r>
        <w:rPr>
          <w:rFonts w:hint="eastAsia" w:ascii="宋体" w:hAnsi="宋体"/>
          <w:bCs/>
          <w:sz w:val="24"/>
          <w:szCs w:val="24"/>
          <w:u w:val="single"/>
          <w:lang w:eastAsia="zh-CN"/>
        </w:rPr>
        <w:t>83.62</w:t>
      </w:r>
      <w:r>
        <w:rPr>
          <w:rFonts w:hint="eastAsia" w:ascii="宋体" w:hAnsi="宋体"/>
          <w:bCs/>
          <w:sz w:val="24"/>
        </w:rPr>
        <w:t>万元，</w:t>
      </w:r>
      <w:r>
        <w:rPr>
          <w:rFonts w:hint="eastAsia" w:ascii="宋体" w:hAnsi="宋体"/>
          <w:sz w:val="24"/>
        </w:rPr>
        <w:t>作出监理服务收费报价为小写：</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万元（大写：</w:t>
      </w:r>
      <w:r>
        <w:rPr>
          <w:rFonts w:hint="eastAsia" w:ascii="宋体" w:hAnsi="宋体"/>
          <w:sz w:val="24"/>
          <w:u w:val="single"/>
        </w:rPr>
        <w:t xml:space="preserve">             </w:t>
      </w:r>
      <w:r>
        <w:rPr>
          <w:rFonts w:hint="eastAsia" w:ascii="宋体" w:hAnsi="宋体"/>
          <w:sz w:val="24"/>
        </w:rPr>
        <w:t>），</w:t>
      </w:r>
      <w:r>
        <w:rPr>
          <w:rFonts w:hint="eastAsia" w:ascii="宋体" w:hAnsi="宋体"/>
          <w:bCs/>
          <w:sz w:val="24"/>
        </w:rPr>
        <w:t>监理费率</w:t>
      </w:r>
      <w:r>
        <w:rPr>
          <w:rFonts w:hint="eastAsia" w:ascii="宋体" w:hAnsi="宋体"/>
          <w:sz w:val="24"/>
        </w:rPr>
        <w:t>为</w:t>
      </w:r>
      <w:r>
        <w:rPr>
          <w:rFonts w:hint="eastAsia" w:ascii="宋体" w:hAnsi="宋体"/>
          <w:sz w:val="24"/>
          <w:u w:val="single"/>
        </w:rPr>
        <w:t xml:space="preserve">   </w:t>
      </w:r>
      <w:r>
        <w:rPr>
          <w:rFonts w:hint="eastAsia" w:ascii="宋体" w:hAnsi="宋体"/>
          <w:sz w:val="24"/>
        </w:rPr>
        <w:t xml:space="preserve"> %</w:t>
      </w:r>
      <w:r>
        <w:rPr>
          <w:rFonts w:hint="eastAsia" w:ascii="宋体" w:hAnsi="宋体"/>
          <w:bCs/>
          <w:sz w:val="24"/>
        </w:rPr>
        <w:t>(保留两位小数，第三位四舍五入)。最终合同结算价按实际服务项目的工程费为计费基数，乘以监理费率，即为最终监理服务费的结算金额。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4"/>
        </w:rPr>
      </w:pPr>
      <w:r>
        <w:rPr>
          <w:rFonts w:hint="eastAsia" w:ascii="宋体" w:hAnsi="宋体"/>
          <w:sz w:val="24"/>
        </w:rPr>
        <w:t xml:space="preserve">   （二）我单位将严格按照监理人员执业守则，按照国家相关法规、规范及我方制定的监理大纲、实施细则进行监理，在保证质量、安全的前提下，确保工程按期交付。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4"/>
        </w:rPr>
      </w:pPr>
      <w:r>
        <w:rPr>
          <w:rFonts w:hint="eastAsia" w:ascii="宋体" w:hAnsi="宋体"/>
          <w:sz w:val="24"/>
        </w:rPr>
        <w:t xml:space="preserve">   （三）贵单位的招选文件、中选通知书和本投标文件将构成监理合同的组成部分而具有法律效力。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4"/>
          <w:u w:val="single"/>
        </w:rPr>
      </w:pPr>
      <w:r>
        <w:rPr>
          <w:rFonts w:hint="eastAsia" w:ascii="宋体" w:hAnsi="宋体"/>
          <w:sz w:val="24"/>
        </w:rPr>
        <w:t>投标单位（法人盖章）：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4"/>
          <w:u w:val="single"/>
        </w:rPr>
      </w:pPr>
      <w:r>
        <w:rPr>
          <w:rFonts w:hint="eastAsia" w:ascii="宋体" w:hAnsi="宋体"/>
          <w:sz w:val="24"/>
        </w:rPr>
        <w:t>法定代表人或授权委托人（签字或盖章）：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4"/>
          <w:u w:val="singl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4"/>
          <w:u w:val="singl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sz w:val="24"/>
        </w:rPr>
      </w:pPr>
      <w:r>
        <w:rPr>
          <w:rFonts w:hint="eastAsia" w:ascii="宋体" w:hAnsi="宋体"/>
          <w:sz w:val="24"/>
        </w:rPr>
        <w:t xml:space="preserve">                                   日期： 2023年     月     日</w:t>
      </w:r>
    </w:p>
    <w:p>
      <w:pPr>
        <w:spacing w:line="360" w:lineRule="auto"/>
        <w:jc w:val="center"/>
        <w:rPr>
          <w:rFonts w:ascii="宋体" w:hAnsi="宋体"/>
          <w:sz w:val="24"/>
        </w:rPr>
      </w:pPr>
    </w:p>
    <w:p>
      <w:pPr>
        <w:pStyle w:val="2"/>
        <w:rPr>
          <w:rFonts w:ascii="宋体" w:hAnsi="宋体" w:eastAsia="宋体" w:cs="宋体"/>
        </w:rPr>
      </w:pPr>
      <w:r>
        <w:rPr>
          <w:rFonts w:hint="eastAsia" w:ascii="宋体" w:hAnsi="宋体" w:eastAsia="宋体" w:cs="宋体"/>
        </w:rPr>
        <w:br w:type="page"/>
      </w:r>
      <w:bookmarkStart w:id="59" w:name="_Toc5713"/>
      <w:bookmarkStart w:id="60" w:name="_Toc499060882"/>
      <w:bookmarkStart w:id="61" w:name="_Toc13641"/>
      <w:bookmarkStart w:id="62" w:name="_Toc3734"/>
      <w:bookmarkStart w:id="63" w:name="_Toc26401"/>
      <w:r>
        <w:rPr>
          <w:rFonts w:hint="eastAsia" w:ascii="宋体" w:hAnsi="宋体" w:eastAsia="宋体" w:cs="宋体"/>
        </w:rPr>
        <w:t>附件三</w:t>
      </w:r>
    </w:p>
    <w:p>
      <w:pPr>
        <w:pStyle w:val="2"/>
        <w:jc w:val="center"/>
        <w:rPr>
          <w:rFonts w:ascii="宋体" w:hAnsi="宋体" w:eastAsia="宋体" w:cs="宋体"/>
          <w:sz w:val="44"/>
          <w:szCs w:val="44"/>
        </w:rPr>
      </w:pPr>
      <w:r>
        <w:rPr>
          <w:rFonts w:hint="eastAsia" w:ascii="宋体" w:hAnsi="宋体" w:eastAsia="宋体" w:cs="宋体"/>
          <w:sz w:val="44"/>
          <w:szCs w:val="44"/>
        </w:rPr>
        <w:t>授权委托书</w:t>
      </w:r>
      <w:bookmarkEnd w:id="59"/>
      <w:bookmarkEnd w:id="60"/>
      <w:bookmarkEnd w:id="61"/>
    </w:p>
    <w:bookmarkEnd w:id="62"/>
    <w:bookmarkEnd w:id="63"/>
    <w:p>
      <w:pPr>
        <w:jc w:val="center"/>
        <w:rPr>
          <w:rFonts w:ascii="宋体" w:hAnsi="宋体"/>
          <w:sz w:val="24"/>
          <w:szCs w:val="24"/>
        </w:rPr>
      </w:pPr>
    </w:p>
    <w:p>
      <w:pPr>
        <w:keepNext w:val="0"/>
        <w:keepLines w:val="0"/>
        <w:pageBreakBefore w:val="0"/>
        <w:widowControl w:val="0"/>
        <w:kinsoku/>
        <w:overflowPunct/>
        <w:topLinePunct w:val="0"/>
        <w:autoSpaceDE/>
        <w:autoSpaceDN/>
        <w:bidi w:val="0"/>
        <w:adjustRightInd/>
        <w:snapToGrid w:val="0"/>
        <w:spacing w:line="360" w:lineRule="auto"/>
        <w:textAlignment w:val="auto"/>
        <w:rPr>
          <w:rFonts w:ascii="宋体" w:hAnsi="宋体"/>
          <w:sz w:val="24"/>
        </w:rPr>
      </w:pPr>
      <w:r>
        <w:rPr>
          <w:rFonts w:hint="eastAsia" w:ascii="宋体" w:hAnsi="宋体"/>
          <w:sz w:val="24"/>
        </w:rPr>
        <w:t>本授权委托书声明：</w:t>
      </w:r>
    </w:p>
    <w:p>
      <w:pPr>
        <w:keepNext w:val="0"/>
        <w:keepLines w:val="0"/>
        <w:pageBreakBefore w:val="0"/>
        <w:widowControl w:val="0"/>
        <w:kinsoku/>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我</w:t>
      </w:r>
      <w:r>
        <w:rPr>
          <w:rFonts w:hint="eastAsia" w:ascii="宋体" w:hAnsi="宋体"/>
          <w:sz w:val="24"/>
          <w:u w:val="single"/>
        </w:rPr>
        <w:t xml:space="preserve"> （姓名） </w:t>
      </w:r>
      <w:r>
        <w:rPr>
          <w:rFonts w:hint="eastAsia" w:ascii="宋体" w:hAnsi="宋体"/>
          <w:sz w:val="24"/>
        </w:rPr>
        <w:t>系</w:t>
      </w:r>
      <w:r>
        <w:rPr>
          <w:rFonts w:hint="eastAsia" w:ascii="宋体" w:hAnsi="宋体"/>
          <w:sz w:val="24"/>
          <w:u w:val="single"/>
        </w:rPr>
        <w:t xml:space="preserve">  （投标单位）  </w:t>
      </w:r>
      <w:r>
        <w:rPr>
          <w:rFonts w:hint="eastAsia" w:ascii="宋体" w:hAnsi="宋体"/>
          <w:sz w:val="24"/>
        </w:rPr>
        <w:t>的法定代表人，现授权委托</w:t>
      </w:r>
      <w:r>
        <w:rPr>
          <w:rFonts w:hint="eastAsia" w:ascii="宋体" w:hAnsi="宋体"/>
          <w:sz w:val="24"/>
          <w:u w:val="single"/>
        </w:rPr>
        <w:t xml:space="preserve">  （单位名称）（姓名）  </w:t>
      </w:r>
      <w:r>
        <w:rPr>
          <w:rFonts w:hint="eastAsia" w:ascii="宋体" w:hAnsi="宋体"/>
          <w:sz w:val="24"/>
        </w:rPr>
        <w:t>为我的代理人，以本公司的名义参加</w:t>
      </w:r>
      <w:r>
        <w:rPr>
          <w:rFonts w:hint="eastAsia" w:ascii="宋体" w:hAnsi="宋体"/>
          <w:sz w:val="24"/>
          <w:u w:val="single"/>
        </w:rPr>
        <w:t>新中轴线经营性项目</w:t>
      </w:r>
      <w:r>
        <w:rPr>
          <w:rFonts w:ascii="宋体" w:hAnsi="宋体"/>
          <w:sz w:val="24"/>
          <w:u w:val="single"/>
        </w:rPr>
        <w:t>2023年度监理项目</w:t>
      </w:r>
      <w:r>
        <w:rPr>
          <w:rFonts w:hint="eastAsia" w:ascii="宋体" w:hAnsi="宋体"/>
          <w:sz w:val="24"/>
        </w:rPr>
        <w:t>的投标，代理人所签署的一切文件和处理与该项目投标有关的一切事务，我均予以承认。授权委托人无转让委托权。</w:t>
      </w:r>
    </w:p>
    <w:p>
      <w:pPr>
        <w:keepNext w:val="0"/>
        <w:keepLines w:val="0"/>
        <w:pageBreakBefore w:val="0"/>
        <w:widowControl w:val="0"/>
        <w:kinsoku/>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特此委托。</w:t>
      </w:r>
    </w:p>
    <w:p>
      <w:pPr>
        <w:keepNext w:val="0"/>
        <w:keepLines w:val="0"/>
        <w:pageBreakBefore w:val="0"/>
        <w:widowControl w:val="0"/>
        <w:kinsoku/>
        <w:overflowPunct/>
        <w:topLinePunct w:val="0"/>
        <w:autoSpaceDE/>
        <w:autoSpaceDN/>
        <w:bidi w:val="0"/>
        <w:adjustRightInd/>
        <w:spacing w:line="360" w:lineRule="auto"/>
        <w:textAlignment w:val="auto"/>
        <w:rPr>
          <w:rFonts w:ascii="宋体" w:hAnsi="宋体"/>
          <w:sz w:val="24"/>
        </w:rPr>
      </w:pPr>
    </w:p>
    <w:p>
      <w:pPr>
        <w:keepNext w:val="0"/>
        <w:keepLines w:val="0"/>
        <w:pageBreakBefore w:val="0"/>
        <w:widowControl w:val="0"/>
        <w:kinsoku/>
        <w:overflowPunct/>
        <w:topLinePunct w:val="0"/>
        <w:autoSpaceDE/>
        <w:autoSpaceDN/>
        <w:bidi w:val="0"/>
        <w:adjustRightInd/>
        <w:spacing w:line="360" w:lineRule="auto"/>
        <w:textAlignment w:val="auto"/>
        <w:rPr>
          <w:rFonts w:ascii="宋体" w:hAnsi="宋体"/>
          <w:sz w:val="24"/>
        </w:rPr>
      </w:pPr>
    </w:p>
    <w:p>
      <w:pPr>
        <w:keepNext w:val="0"/>
        <w:keepLines w:val="0"/>
        <w:pageBreakBefore w:val="0"/>
        <w:widowControl w:val="0"/>
        <w:kinsoku/>
        <w:overflowPunct/>
        <w:topLinePunct w:val="0"/>
        <w:autoSpaceDE/>
        <w:autoSpaceDN/>
        <w:bidi w:val="0"/>
        <w:adjustRightInd/>
        <w:spacing w:line="360" w:lineRule="auto"/>
        <w:textAlignment w:val="auto"/>
        <w:rPr>
          <w:rFonts w:ascii="宋体" w:hAnsi="宋体"/>
          <w:sz w:val="24"/>
          <w:u w:val="single"/>
        </w:rPr>
      </w:pPr>
      <w:r>
        <w:rPr>
          <w:rFonts w:hint="eastAsia" w:ascii="宋体" w:hAnsi="宋体"/>
          <w:sz w:val="24"/>
        </w:rPr>
        <w:t>代理人：            性别：       年龄：</w:t>
      </w:r>
    </w:p>
    <w:p>
      <w:pPr>
        <w:keepNext w:val="0"/>
        <w:keepLines w:val="0"/>
        <w:pageBreakBefore w:val="0"/>
        <w:widowControl w:val="0"/>
        <w:kinsoku/>
        <w:overflowPunct/>
        <w:topLinePunct w:val="0"/>
        <w:autoSpaceDE/>
        <w:autoSpaceDN/>
        <w:bidi w:val="0"/>
        <w:adjustRightInd/>
        <w:spacing w:line="360" w:lineRule="auto"/>
        <w:textAlignment w:val="auto"/>
        <w:rPr>
          <w:rFonts w:ascii="宋体" w:hAnsi="宋体"/>
          <w:sz w:val="24"/>
          <w:u w:val="single"/>
        </w:rPr>
      </w:pPr>
      <w:r>
        <w:rPr>
          <w:rFonts w:hint="eastAsia" w:ascii="宋体" w:hAnsi="宋体"/>
          <w:sz w:val="24"/>
        </w:rPr>
        <w:t>单位：              部门：       职务：</w:t>
      </w:r>
    </w:p>
    <w:p>
      <w:pPr>
        <w:keepNext w:val="0"/>
        <w:keepLines w:val="0"/>
        <w:pageBreakBefore w:val="0"/>
        <w:widowControl w:val="0"/>
        <w:kinsoku/>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投标单位（盖法人章）：</w:t>
      </w:r>
      <w:r>
        <w:rPr>
          <w:rFonts w:ascii="宋体" w:hAnsi="宋体"/>
          <w:sz w:val="24"/>
        </w:rPr>
        <w:t xml:space="preserve"> </w:t>
      </w:r>
    </w:p>
    <w:p>
      <w:pPr>
        <w:keepNext w:val="0"/>
        <w:keepLines w:val="0"/>
        <w:pageBreakBefore w:val="0"/>
        <w:widowControl w:val="0"/>
        <w:kinsoku/>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法定代表人（签字或盖章）：</w:t>
      </w:r>
      <w:r>
        <w:rPr>
          <w:rFonts w:ascii="宋体" w:hAnsi="宋体"/>
          <w:sz w:val="24"/>
        </w:rPr>
        <w:t xml:space="preserve"> </w:t>
      </w:r>
    </w:p>
    <w:p>
      <w:pPr>
        <w:keepNext w:val="0"/>
        <w:keepLines w:val="0"/>
        <w:pageBreakBefore w:val="0"/>
        <w:widowControl w:val="0"/>
        <w:kinsoku/>
        <w:wordWrap w:val="0"/>
        <w:overflowPunct/>
        <w:topLinePunct w:val="0"/>
        <w:autoSpaceDE/>
        <w:autoSpaceDN/>
        <w:bidi w:val="0"/>
        <w:adjustRightInd/>
        <w:spacing w:line="360" w:lineRule="auto"/>
        <w:jc w:val="right"/>
        <w:textAlignment w:val="auto"/>
        <w:rPr>
          <w:rFonts w:ascii="宋体" w:hAnsi="宋体"/>
          <w:sz w:val="24"/>
        </w:rPr>
      </w:pPr>
    </w:p>
    <w:p>
      <w:pPr>
        <w:keepNext w:val="0"/>
        <w:keepLines w:val="0"/>
        <w:pageBreakBefore w:val="0"/>
        <w:widowControl w:val="0"/>
        <w:kinsoku/>
        <w:overflowPunct/>
        <w:topLinePunct w:val="0"/>
        <w:autoSpaceDE/>
        <w:autoSpaceDN/>
        <w:bidi w:val="0"/>
        <w:adjustRightInd/>
        <w:spacing w:line="360" w:lineRule="auto"/>
        <w:jc w:val="right"/>
        <w:textAlignment w:val="auto"/>
        <w:rPr>
          <w:rFonts w:ascii="宋体" w:hAnsi="宋体"/>
          <w:sz w:val="24"/>
        </w:rPr>
      </w:pPr>
    </w:p>
    <w:p>
      <w:pPr>
        <w:keepNext w:val="0"/>
        <w:keepLines w:val="0"/>
        <w:pageBreakBefore w:val="0"/>
        <w:widowControl w:val="0"/>
        <w:kinsoku/>
        <w:overflowPunct/>
        <w:topLinePunct w:val="0"/>
        <w:autoSpaceDE/>
        <w:autoSpaceDN/>
        <w:bidi w:val="0"/>
        <w:adjustRightInd/>
        <w:spacing w:line="360" w:lineRule="auto"/>
        <w:jc w:val="right"/>
        <w:textAlignment w:val="auto"/>
        <w:rPr>
          <w:rFonts w:ascii="宋体" w:hAnsi="宋体"/>
          <w:sz w:val="24"/>
        </w:rPr>
      </w:pPr>
      <w:r>
        <w:rPr>
          <w:rFonts w:hint="eastAsia" w:ascii="宋体" w:hAnsi="宋体"/>
          <w:sz w:val="24"/>
        </w:rPr>
        <w:t>日期： 2023年    月    日</w:t>
      </w:r>
    </w:p>
    <w:p>
      <w:pPr>
        <w:jc w:val="right"/>
        <w:rPr>
          <w:rFonts w:ascii="宋体" w:hAnsi="宋体"/>
          <w:sz w:val="28"/>
        </w:rPr>
      </w:pPr>
    </w:p>
    <w:p>
      <w:pPr>
        <w:jc w:val="right"/>
        <w:rPr>
          <w:rFonts w:ascii="宋体" w:hAnsi="宋体"/>
          <w:sz w:val="28"/>
        </w:rPr>
      </w:pPr>
    </w:p>
    <w:p>
      <w:pPr>
        <w:pStyle w:val="2"/>
        <w:jc w:val="center"/>
        <w:rPr>
          <w:rFonts w:ascii="宋体" w:hAnsi="宋体" w:eastAsia="宋体" w:cs="宋体"/>
        </w:rPr>
      </w:pPr>
      <w:bookmarkStart w:id="64" w:name="_Toc13348"/>
      <w:bookmarkStart w:id="65" w:name="_Toc499060883"/>
      <w:bookmarkStart w:id="66" w:name="_Toc14901"/>
      <w:bookmarkStart w:id="67" w:name="_Toc1357"/>
      <w:bookmarkStart w:id="68" w:name="_Toc11833"/>
    </w:p>
    <w:p>
      <w:pPr>
        <w:pStyle w:val="2"/>
        <w:jc w:val="left"/>
        <w:rPr>
          <w:rFonts w:ascii="宋体" w:hAnsi="宋体" w:eastAsia="宋体" w:cs="宋体"/>
        </w:rPr>
      </w:pPr>
    </w:p>
    <w:p>
      <w:pPr>
        <w:pStyle w:val="2"/>
        <w:jc w:val="left"/>
        <w:rPr>
          <w:rFonts w:ascii="宋体" w:hAnsi="宋体" w:eastAsia="宋体" w:cs="宋体"/>
        </w:rPr>
      </w:pPr>
      <w:r>
        <w:rPr>
          <w:rFonts w:hint="eastAsia" w:ascii="宋体" w:hAnsi="宋体" w:eastAsia="宋体" w:cs="宋体"/>
        </w:rPr>
        <w:br w:type="page"/>
      </w:r>
      <w:r>
        <w:rPr>
          <w:rFonts w:hint="eastAsia" w:ascii="宋体" w:hAnsi="宋体" w:eastAsia="宋体" w:cs="宋体"/>
        </w:rPr>
        <w:t>附件四</w:t>
      </w:r>
    </w:p>
    <w:p>
      <w:pPr>
        <w:pStyle w:val="2"/>
        <w:jc w:val="center"/>
        <w:rPr>
          <w:rFonts w:ascii="宋体" w:hAnsi="宋体" w:eastAsia="宋体" w:cs="宋体"/>
          <w:sz w:val="44"/>
          <w:szCs w:val="44"/>
        </w:rPr>
      </w:pPr>
      <w:r>
        <w:rPr>
          <w:rFonts w:hint="eastAsia" w:ascii="宋体" w:hAnsi="宋体" w:eastAsia="宋体" w:cs="宋体"/>
          <w:sz w:val="44"/>
          <w:szCs w:val="44"/>
        </w:rPr>
        <w:t>投标函承诺书</w:t>
      </w:r>
      <w:bookmarkEnd w:id="64"/>
      <w:bookmarkEnd w:id="65"/>
    </w:p>
    <w:bookmarkEnd w:id="66"/>
    <w:bookmarkEnd w:id="67"/>
    <w:bookmarkEnd w:id="68"/>
    <w:p>
      <w:pPr>
        <w:pStyle w:val="15"/>
        <w:spacing w:line="360" w:lineRule="auto"/>
        <w:ind w:left="2" w:firstLine="357" w:firstLineChars="149"/>
        <w:jc w:val="left"/>
        <w:rPr>
          <w:rFonts w:ascii="宋体" w:hAnsi="宋体" w:eastAsia="宋体"/>
          <w:spacing w:val="0"/>
          <w:sz w:val="24"/>
        </w:rPr>
      </w:pPr>
    </w:p>
    <w:p>
      <w:pPr>
        <w:pStyle w:val="15"/>
        <w:keepNext w:val="0"/>
        <w:keepLines w:val="0"/>
        <w:pageBreakBefore w:val="0"/>
        <w:widowControl w:val="0"/>
        <w:kinsoku/>
        <w:wordWrap/>
        <w:overflowPunct/>
        <w:topLinePunct w:val="0"/>
        <w:autoSpaceDE/>
        <w:autoSpaceDN/>
        <w:bidi w:val="0"/>
        <w:adjustRightInd/>
        <w:snapToGrid/>
        <w:spacing w:line="360" w:lineRule="auto"/>
        <w:ind w:left="2" w:firstLine="357" w:firstLineChars="149"/>
        <w:jc w:val="left"/>
        <w:textAlignment w:val="auto"/>
        <w:rPr>
          <w:rFonts w:ascii="宋体" w:hAnsi="宋体" w:eastAsia="宋体"/>
          <w:spacing w:val="0"/>
          <w:sz w:val="24"/>
        </w:rPr>
      </w:pPr>
      <w:r>
        <w:rPr>
          <w:rFonts w:hint="eastAsia" w:ascii="宋体" w:hAnsi="宋体" w:eastAsia="宋体"/>
          <w:spacing w:val="0"/>
          <w:sz w:val="24"/>
        </w:rPr>
        <w:t>致：广州市城投资产经营管理有限公司珠江新城分公司</w:t>
      </w:r>
    </w:p>
    <w:p>
      <w:pPr>
        <w:pStyle w:val="15"/>
        <w:keepNext w:val="0"/>
        <w:keepLines w:val="0"/>
        <w:pageBreakBefore w:val="0"/>
        <w:widowControl w:val="0"/>
        <w:kinsoku/>
        <w:wordWrap/>
        <w:overflowPunct/>
        <w:topLinePunct w:val="0"/>
        <w:autoSpaceDE/>
        <w:autoSpaceDN/>
        <w:bidi w:val="0"/>
        <w:adjustRightInd/>
        <w:snapToGrid/>
        <w:spacing w:line="360" w:lineRule="auto"/>
        <w:ind w:left="359" w:leftChars="171" w:firstLine="480"/>
        <w:jc w:val="left"/>
        <w:textAlignment w:val="auto"/>
        <w:rPr>
          <w:rFonts w:ascii="宋体" w:hAnsi="宋体" w:eastAsia="宋体"/>
          <w:spacing w:val="0"/>
          <w:sz w:val="24"/>
        </w:rPr>
      </w:pPr>
      <w:r>
        <w:rPr>
          <w:rFonts w:hint="eastAsia" w:ascii="宋体" w:hAnsi="宋体" w:eastAsia="宋体"/>
          <w:spacing w:val="0"/>
          <w:sz w:val="24"/>
        </w:rPr>
        <w:t>如果在本招选工程中我司中选，我司将积极响应贵单位提出的合同条件及招选文件的要求，并做出如下承诺：</w:t>
      </w:r>
    </w:p>
    <w:p>
      <w:pPr>
        <w:pStyle w:val="15"/>
        <w:keepNext w:val="0"/>
        <w:keepLines w:val="0"/>
        <w:pageBreakBefore w:val="0"/>
        <w:widowControl w:val="0"/>
        <w:kinsoku/>
        <w:wordWrap/>
        <w:overflowPunct/>
        <w:topLinePunct w:val="0"/>
        <w:autoSpaceDE/>
        <w:autoSpaceDN/>
        <w:bidi w:val="0"/>
        <w:adjustRightInd/>
        <w:snapToGrid/>
        <w:spacing w:line="360" w:lineRule="auto"/>
        <w:ind w:left="359" w:leftChars="171" w:firstLine="480"/>
        <w:jc w:val="left"/>
        <w:textAlignment w:val="auto"/>
        <w:rPr>
          <w:rFonts w:ascii="宋体" w:hAnsi="宋体" w:eastAsia="宋体"/>
          <w:spacing w:val="0"/>
          <w:sz w:val="24"/>
        </w:rPr>
      </w:pPr>
      <w:r>
        <w:rPr>
          <w:rFonts w:hint="eastAsia" w:ascii="宋体" w:hAnsi="宋体" w:eastAsia="宋体"/>
          <w:spacing w:val="0"/>
          <w:sz w:val="24"/>
        </w:rPr>
        <w:t>1、若我公司中选，我公司承诺按贵公司制定的有关要求执行。</w:t>
      </w:r>
    </w:p>
    <w:p>
      <w:pPr>
        <w:pStyle w:val="15"/>
        <w:keepNext w:val="0"/>
        <w:keepLines w:val="0"/>
        <w:pageBreakBefore w:val="0"/>
        <w:widowControl w:val="0"/>
        <w:kinsoku/>
        <w:wordWrap/>
        <w:overflowPunct/>
        <w:topLinePunct w:val="0"/>
        <w:autoSpaceDE/>
        <w:autoSpaceDN/>
        <w:bidi w:val="0"/>
        <w:adjustRightInd/>
        <w:snapToGrid/>
        <w:spacing w:line="360" w:lineRule="auto"/>
        <w:ind w:left="359" w:leftChars="171" w:firstLine="480"/>
        <w:jc w:val="left"/>
        <w:textAlignment w:val="auto"/>
        <w:rPr>
          <w:rFonts w:ascii="宋体" w:hAnsi="宋体" w:eastAsia="宋体"/>
          <w:spacing w:val="0"/>
          <w:sz w:val="24"/>
        </w:rPr>
      </w:pPr>
      <w:r>
        <w:rPr>
          <w:rFonts w:hint="eastAsia" w:ascii="宋体" w:hAnsi="宋体" w:eastAsia="宋体"/>
          <w:spacing w:val="0"/>
          <w:sz w:val="24"/>
        </w:rPr>
        <w:t>2、公司保证拟派的总监理工程师将严格按照招选文件要求，自签订合同之日起至工程竣工验收将常驻现场，并确保施工阶段专业监理工程师和安全监理员常驻现场，严格按照有关监理规范的要求开展监理工作，如果不能够按照此要求实施，我方自愿接受贵公司的制裁措施。</w:t>
      </w:r>
    </w:p>
    <w:p>
      <w:pPr>
        <w:pStyle w:val="15"/>
        <w:keepNext w:val="0"/>
        <w:keepLines w:val="0"/>
        <w:pageBreakBefore w:val="0"/>
        <w:widowControl w:val="0"/>
        <w:kinsoku/>
        <w:wordWrap/>
        <w:overflowPunct/>
        <w:topLinePunct w:val="0"/>
        <w:autoSpaceDE/>
        <w:autoSpaceDN/>
        <w:bidi w:val="0"/>
        <w:adjustRightInd/>
        <w:snapToGrid/>
        <w:spacing w:line="360" w:lineRule="auto"/>
        <w:ind w:left="359" w:leftChars="171" w:firstLine="480"/>
        <w:jc w:val="left"/>
        <w:textAlignment w:val="auto"/>
        <w:rPr>
          <w:rFonts w:ascii="宋体" w:hAnsi="宋体" w:eastAsia="宋体"/>
          <w:spacing w:val="0"/>
          <w:sz w:val="24"/>
        </w:rPr>
      </w:pPr>
      <w:r>
        <w:rPr>
          <w:rFonts w:hint="eastAsia" w:ascii="宋体" w:hAnsi="宋体" w:eastAsia="宋体"/>
          <w:spacing w:val="0"/>
          <w:sz w:val="24"/>
        </w:rPr>
        <w:t>3、我司保证在中选后，根据工程特点，编制本工程详细的监理规划和监理细则，并上报至贵公司。</w:t>
      </w:r>
    </w:p>
    <w:p>
      <w:pPr>
        <w:pStyle w:val="15"/>
        <w:keepNext w:val="0"/>
        <w:keepLines w:val="0"/>
        <w:pageBreakBefore w:val="0"/>
        <w:widowControl w:val="0"/>
        <w:kinsoku/>
        <w:wordWrap/>
        <w:overflowPunct/>
        <w:topLinePunct w:val="0"/>
        <w:autoSpaceDE/>
        <w:autoSpaceDN/>
        <w:bidi w:val="0"/>
        <w:adjustRightInd/>
        <w:snapToGrid/>
        <w:spacing w:line="360" w:lineRule="auto"/>
        <w:ind w:left="420" w:leftChars="200" w:firstLine="480"/>
        <w:jc w:val="left"/>
        <w:textAlignment w:val="auto"/>
        <w:rPr>
          <w:rFonts w:ascii="宋体" w:hAnsi="宋体" w:eastAsia="宋体"/>
          <w:spacing w:val="0"/>
          <w:sz w:val="24"/>
        </w:rPr>
      </w:pPr>
    </w:p>
    <w:p>
      <w:pPr>
        <w:pStyle w:val="15"/>
        <w:keepNext w:val="0"/>
        <w:keepLines w:val="0"/>
        <w:pageBreakBefore w:val="0"/>
        <w:widowControl w:val="0"/>
        <w:kinsoku/>
        <w:wordWrap/>
        <w:overflowPunct/>
        <w:topLinePunct w:val="0"/>
        <w:autoSpaceDE/>
        <w:autoSpaceDN/>
        <w:bidi w:val="0"/>
        <w:adjustRightInd/>
        <w:snapToGrid/>
        <w:spacing w:line="360" w:lineRule="auto"/>
        <w:ind w:left="420" w:leftChars="200" w:firstLine="480"/>
        <w:jc w:val="left"/>
        <w:textAlignment w:val="auto"/>
        <w:rPr>
          <w:rFonts w:ascii="宋体" w:hAnsi="宋体" w:eastAsia="宋体"/>
          <w:spacing w:val="0"/>
          <w:sz w:val="24"/>
        </w:rPr>
      </w:pPr>
    </w:p>
    <w:p>
      <w:pPr>
        <w:pStyle w:val="15"/>
        <w:keepNext w:val="0"/>
        <w:keepLines w:val="0"/>
        <w:pageBreakBefore w:val="0"/>
        <w:widowControl w:val="0"/>
        <w:kinsoku/>
        <w:wordWrap/>
        <w:overflowPunct/>
        <w:topLinePunct w:val="0"/>
        <w:autoSpaceDE/>
        <w:autoSpaceDN/>
        <w:bidi w:val="0"/>
        <w:adjustRightInd/>
        <w:snapToGrid/>
        <w:spacing w:line="360" w:lineRule="auto"/>
        <w:ind w:left="420" w:leftChars="200" w:firstLine="480"/>
        <w:jc w:val="left"/>
        <w:textAlignment w:val="auto"/>
        <w:rPr>
          <w:rFonts w:ascii="宋体" w:hAnsi="宋体" w:eastAsia="宋体"/>
          <w:spacing w:val="0"/>
          <w:sz w:val="24"/>
        </w:rPr>
      </w:pPr>
      <w:r>
        <w:rPr>
          <w:rFonts w:hint="eastAsia" w:ascii="宋体" w:hAnsi="宋体" w:eastAsia="宋体"/>
          <w:spacing w:val="0"/>
          <w:sz w:val="24"/>
        </w:rPr>
        <w:t>单    位：（公章）</w:t>
      </w:r>
    </w:p>
    <w:p>
      <w:pPr>
        <w:pStyle w:val="15"/>
        <w:keepNext w:val="0"/>
        <w:keepLines w:val="0"/>
        <w:pageBreakBefore w:val="0"/>
        <w:widowControl w:val="0"/>
        <w:kinsoku/>
        <w:wordWrap/>
        <w:overflowPunct/>
        <w:topLinePunct w:val="0"/>
        <w:autoSpaceDE/>
        <w:autoSpaceDN/>
        <w:bidi w:val="0"/>
        <w:adjustRightInd/>
        <w:snapToGrid/>
        <w:spacing w:line="360" w:lineRule="auto"/>
        <w:ind w:left="420" w:leftChars="200" w:firstLine="480"/>
        <w:jc w:val="left"/>
        <w:textAlignment w:val="auto"/>
        <w:rPr>
          <w:rFonts w:ascii="宋体" w:hAnsi="宋体" w:eastAsia="宋体"/>
          <w:spacing w:val="0"/>
          <w:sz w:val="24"/>
        </w:rPr>
      </w:pPr>
      <w:r>
        <w:rPr>
          <w:rFonts w:hint="eastAsia" w:ascii="宋体" w:hAnsi="宋体" w:eastAsia="宋体"/>
          <w:spacing w:val="0"/>
          <w:sz w:val="24"/>
        </w:rPr>
        <w:t>法人代表：（签名或盖章）</w:t>
      </w:r>
    </w:p>
    <w:p>
      <w:pPr>
        <w:pStyle w:val="15"/>
        <w:keepNext w:val="0"/>
        <w:keepLines w:val="0"/>
        <w:pageBreakBefore w:val="0"/>
        <w:widowControl w:val="0"/>
        <w:kinsoku/>
        <w:wordWrap/>
        <w:overflowPunct/>
        <w:topLinePunct w:val="0"/>
        <w:autoSpaceDE/>
        <w:autoSpaceDN/>
        <w:bidi w:val="0"/>
        <w:adjustRightInd/>
        <w:snapToGrid/>
        <w:spacing w:line="360" w:lineRule="auto"/>
        <w:ind w:left="420" w:leftChars="200" w:firstLine="480"/>
        <w:jc w:val="left"/>
        <w:textAlignment w:val="auto"/>
        <w:rPr>
          <w:rFonts w:ascii="宋体" w:hAnsi="宋体" w:eastAsia="宋体"/>
          <w:spacing w:val="0"/>
          <w:sz w:val="24"/>
        </w:rPr>
      </w:pPr>
      <w:r>
        <w:rPr>
          <w:rFonts w:hint="eastAsia" w:ascii="宋体" w:hAnsi="宋体" w:eastAsia="宋体"/>
          <w:spacing w:val="0"/>
          <w:sz w:val="24"/>
        </w:rPr>
        <w:t xml:space="preserve">                                     年    月    日</w:t>
      </w:r>
    </w:p>
    <w:p>
      <w:pPr>
        <w:pStyle w:val="15"/>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ascii="宋体" w:hAnsi="宋体" w:eastAsia="宋体"/>
          <w:spacing w:val="0"/>
          <w:sz w:val="28"/>
        </w:rPr>
      </w:pPr>
    </w:p>
    <w:p>
      <w:pPr>
        <w:pStyle w:val="15"/>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ascii="宋体" w:hAnsi="宋体" w:eastAsia="宋体"/>
          <w:spacing w:val="0"/>
          <w:sz w:val="28"/>
        </w:rPr>
      </w:pPr>
    </w:p>
    <w:p>
      <w:pPr>
        <w:pStyle w:val="15"/>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ascii="宋体" w:hAnsi="宋体" w:eastAsia="宋体"/>
          <w:spacing w:val="0"/>
          <w:sz w:val="24"/>
        </w:rPr>
      </w:pPr>
      <w:r>
        <w:rPr>
          <w:rFonts w:hint="eastAsia" w:ascii="宋体" w:hAnsi="宋体" w:eastAsia="宋体"/>
          <w:spacing w:val="0"/>
          <w:sz w:val="24"/>
        </w:rPr>
        <w:t>注：投标函承诺书作为投标文件的“实质性响应”文件，投标人应如实填写，中选后必须按填报内容如期实施。工程的建设单位将经常核验投标人是否按填报内容实施，行政管理机构也将随时抽查。</w:t>
      </w:r>
    </w:p>
    <w:p>
      <w:pPr>
        <w:pStyle w:val="15"/>
        <w:spacing w:line="380" w:lineRule="exact"/>
        <w:ind w:left="360" w:firstLine="460"/>
        <w:jc w:val="left"/>
        <w:rPr>
          <w:rFonts w:ascii="宋体" w:hAnsi="宋体" w:eastAsia="宋体"/>
          <w:spacing w:val="0"/>
        </w:rPr>
      </w:pPr>
    </w:p>
    <w:p>
      <w:pPr>
        <w:pStyle w:val="15"/>
        <w:spacing w:line="380" w:lineRule="exact"/>
        <w:ind w:left="360" w:firstLine="460"/>
        <w:jc w:val="left"/>
        <w:rPr>
          <w:rFonts w:ascii="宋体" w:hAnsi="宋体" w:eastAsia="宋体"/>
          <w:spacing w:val="0"/>
        </w:rPr>
      </w:pPr>
    </w:p>
    <w:tbl>
      <w:tblPr>
        <w:tblStyle w:val="42"/>
        <w:tblpPr w:leftFromText="180" w:rightFromText="180" w:vertAnchor="text" w:horzAnchor="page" w:tblpX="1553" w:tblpY="362"/>
        <w:tblOverlap w:val="never"/>
        <w:tblW w:w="92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768"/>
        <w:gridCol w:w="554"/>
        <w:gridCol w:w="500"/>
        <w:gridCol w:w="499"/>
        <w:gridCol w:w="499"/>
        <w:gridCol w:w="499"/>
        <w:gridCol w:w="499"/>
        <w:gridCol w:w="499"/>
        <w:gridCol w:w="499"/>
        <w:gridCol w:w="499"/>
        <w:gridCol w:w="499"/>
        <w:gridCol w:w="499"/>
        <w:gridCol w:w="499"/>
        <w:gridCol w:w="499"/>
        <w:gridCol w:w="499"/>
        <w:gridCol w:w="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5" w:hRule="atLeast"/>
        </w:trPr>
        <w:tc>
          <w:tcPr>
            <w:tcW w:w="914" w:type="dxa"/>
            <w:vMerge w:val="restart"/>
            <w:tcBorders>
              <w:top w:val="single" w:color="auto" w:sz="18" w:space="0"/>
              <w:left w:val="single" w:color="auto" w:sz="18" w:space="0"/>
              <w:right w:val="single" w:color="auto" w:sz="4" w:space="0"/>
            </w:tcBorders>
            <w:noWrap/>
            <w:textDirection w:val="btLr"/>
            <w:vAlign w:val="center"/>
          </w:tcPr>
          <w:p>
            <w:pPr>
              <w:spacing w:line="360" w:lineRule="exact"/>
              <w:ind w:left="113" w:right="113"/>
              <w:jc w:val="center"/>
              <w:rPr>
                <w:rFonts w:ascii="宋体" w:hAnsi="宋体"/>
                <w:b/>
                <w:bCs/>
              </w:rPr>
            </w:pPr>
            <w:r>
              <w:rPr>
                <w:rFonts w:hint="eastAsia" w:ascii="宋体" w:hAnsi="宋体"/>
                <w:b/>
                <w:bCs/>
              </w:rPr>
              <w:t>投标人拟投入本工程的主要监理人员一览表</w:t>
            </w:r>
          </w:p>
        </w:tc>
        <w:tc>
          <w:tcPr>
            <w:tcW w:w="768" w:type="dxa"/>
            <w:tcBorders>
              <w:top w:val="single" w:color="auto" w:sz="18"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b/>
                <w:bCs/>
                <w:sz w:val="24"/>
              </w:rPr>
            </w:pPr>
            <w:r>
              <w:rPr>
                <w:rFonts w:hint="eastAsia" w:ascii="宋体" w:hAnsi="宋体"/>
                <w:b/>
                <w:bCs/>
                <w:sz w:val="24"/>
              </w:rPr>
              <w:t>从事工程建设监理工作简历及年限</w:t>
            </w:r>
          </w:p>
        </w:tc>
        <w:tc>
          <w:tcPr>
            <w:tcW w:w="554" w:type="dxa"/>
            <w:tcBorders>
              <w:top w:val="single" w:color="auto" w:sz="18"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500" w:type="dxa"/>
            <w:tcBorders>
              <w:top w:val="single" w:color="auto" w:sz="18"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18"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18"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18"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18"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18"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18"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18"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18"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18"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18"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18"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18"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18" w:space="0"/>
              <w:left w:val="single" w:color="auto" w:sz="4" w:space="0"/>
              <w:bottom w:val="single" w:color="auto" w:sz="4" w:space="0"/>
              <w:right w:val="single" w:color="auto" w:sz="18" w:space="0"/>
            </w:tcBorders>
            <w:noWrap/>
            <w:textDirection w:val="btLr"/>
            <w:vAlign w:val="center"/>
          </w:tcPr>
          <w:p>
            <w:pPr>
              <w:spacing w:line="360" w:lineRule="exact"/>
              <w:ind w:left="113" w:right="113"/>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5" w:hRule="atLeast"/>
        </w:trPr>
        <w:tc>
          <w:tcPr>
            <w:tcW w:w="914" w:type="dxa"/>
            <w:vMerge w:val="continue"/>
            <w:tcBorders>
              <w:left w:val="single" w:color="auto" w:sz="18"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768"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b/>
                <w:bCs/>
                <w:sz w:val="24"/>
              </w:rPr>
            </w:pPr>
            <w:r>
              <w:rPr>
                <w:rFonts w:hint="eastAsia" w:ascii="宋体" w:hAnsi="宋体"/>
                <w:b/>
                <w:bCs/>
                <w:sz w:val="24"/>
              </w:rPr>
              <w:t>职称/资格证号</w:t>
            </w:r>
          </w:p>
        </w:tc>
        <w:tc>
          <w:tcPr>
            <w:tcW w:w="554"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500"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18" w:space="0"/>
            </w:tcBorders>
            <w:noWrap/>
            <w:textDirection w:val="btLr"/>
            <w:vAlign w:val="center"/>
          </w:tcPr>
          <w:p>
            <w:pPr>
              <w:spacing w:line="360" w:lineRule="exact"/>
              <w:ind w:left="113" w:right="113"/>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2" w:hRule="atLeast"/>
        </w:trPr>
        <w:tc>
          <w:tcPr>
            <w:tcW w:w="914" w:type="dxa"/>
            <w:vMerge w:val="continue"/>
            <w:tcBorders>
              <w:left w:val="single" w:color="auto" w:sz="18"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768" w:type="dxa"/>
            <w:tcBorders>
              <w:top w:val="single" w:color="auto" w:sz="4" w:space="0"/>
              <w:left w:val="single" w:color="auto" w:sz="4" w:space="0"/>
              <w:bottom w:val="single" w:color="auto" w:sz="4" w:space="0"/>
              <w:right w:val="single" w:color="auto" w:sz="4" w:space="0"/>
            </w:tcBorders>
            <w:noWrap/>
            <w:textDirection w:val="btLr"/>
            <w:vAlign w:val="center"/>
          </w:tcPr>
          <w:p>
            <w:pPr>
              <w:spacing w:line="300" w:lineRule="exact"/>
              <w:ind w:left="113" w:right="113"/>
              <w:jc w:val="center"/>
              <w:rPr>
                <w:rFonts w:ascii="宋体" w:hAnsi="宋体"/>
                <w:b/>
                <w:bCs/>
                <w:sz w:val="24"/>
              </w:rPr>
            </w:pPr>
            <w:r>
              <w:rPr>
                <w:rFonts w:hint="eastAsia" w:ascii="宋体" w:hAnsi="宋体"/>
                <w:b/>
                <w:bCs/>
                <w:sz w:val="24"/>
              </w:rPr>
              <w:t>专业资格/职称</w:t>
            </w:r>
          </w:p>
        </w:tc>
        <w:tc>
          <w:tcPr>
            <w:tcW w:w="554"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500"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18" w:space="0"/>
            </w:tcBorders>
            <w:noWrap/>
            <w:textDirection w:val="btLr"/>
            <w:vAlign w:val="center"/>
          </w:tcPr>
          <w:p>
            <w:pPr>
              <w:spacing w:line="360" w:lineRule="exact"/>
              <w:ind w:left="113" w:right="113"/>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5" w:hRule="atLeast"/>
        </w:trPr>
        <w:tc>
          <w:tcPr>
            <w:tcW w:w="914" w:type="dxa"/>
            <w:vMerge w:val="continue"/>
            <w:tcBorders>
              <w:left w:val="single" w:color="auto" w:sz="18"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768"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b/>
                <w:bCs/>
                <w:sz w:val="24"/>
              </w:rPr>
            </w:pPr>
            <w:r>
              <w:rPr>
                <w:rFonts w:hint="eastAsia" w:ascii="宋体" w:hAnsi="宋体"/>
                <w:b/>
                <w:bCs/>
                <w:sz w:val="24"/>
              </w:rPr>
              <w:t>职务</w:t>
            </w:r>
          </w:p>
        </w:tc>
        <w:tc>
          <w:tcPr>
            <w:tcW w:w="554"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500"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18" w:space="0"/>
            </w:tcBorders>
            <w:noWrap/>
            <w:textDirection w:val="btLr"/>
            <w:vAlign w:val="center"/>
          </w:tcPr>
          <w:p>
            <w:pPr>
              <w:spacing w:line="360" w:lineRule="exact"/>
              <w:ind w:left="113" w:right="113"/>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6" w:hRule="atLeast"/>
        </w:trPr>
        <w:tc>
          <w:tcPr>
            <w:tcW w:w="914" w:type="dxa"/>
            <w:vMerge w:val="continue"/>
            <w:tcBorders>
              <w:left w:val="single" w:color="auto" w:sz="18"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768"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b/>
                <w:bCs/>
                <w:sz w:val="24"/>
              </w:rPr>
            </w:pPr>
            <w:r>
              <w:rPr>
                <w:rFonts w:hint="eastAsia" w:ascii="宋体" w:hAnsi="宋体"/>
                <w:b/>
                <w:bCs/>
                <w:sz w:val="24"/>
              </w:rPr>
              <w:t>身份证号</w:t>
            </w:r>
          </w:p>
        </w:tc>
        <w:tc>
          <w:tcPr>
            <w:tcW w:w="554"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500"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18" w:space="0"/>
            </w:tcBorders>
            <w:noWrap/>
            <w:textDirection w:val="btLr"/>
            <w:vAlign w:val="center"/>
          </w:tcPr>
          <w:p>
            <w:pPr>
              <w:spacing w:line="360" w:lineRule="exact"/>
              <w:ind w:left="113" w:right="113"/>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trPr>
        <w:tc>
          <w:tcPr>
            <w:tcW w:w="914" w:type="dxa"/>
            <w:vMerge w:val="continue"/>
            <w:tcBorders>
              <w:left w:val="single" w:color="auto" w:sz="18"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768"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b/>
                <w:bCs/>
                <w:sz w:val="24"/>
              </w:rPr>
            </w:pPr>
            <w:r>
              <w:rPr>
                <w:rFonts w:hint="eastAsia" w:ascii="宋体" w:hAnsi="宋体"/>
                <w:b/>
                <w:bCs/>
                <w:sz w:val="24"/>
              </w:rPr>
              <w:t>姓名</w:t>
            </w:r>
          </w:p>
        </w:tc>
        <w:tc>
          <w:tcPr>
            <w:tcW w:w="554"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500"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499" w:type="dxa"/>
            <w:tcBorders>
              <w:top w:val="single" w:color="auto" w:sz="4" w:space="0"/>
              <w:left w:val="single" w:color="auto" w:sz="4" w:space="0"/>
              <w:bottom w:val="single" w:color="auto" w:sz="4" w:space="0"/>
              <w:right w:val="single" w:color="auto" w:sz="18" w:space="0"/>
            </w:tcBorders>
            <w:noWrap/>
            <w:textDirection w:val="btLr"/>
            <w:vAlign w:val="center"/>
          </w:tcPr>
          <w:p>
            <w:pPr>
              <w:spacing w:line="360" w:lineRule="exact"/>
              <w:ind w:left="113" w:right="113"/>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914" w:type="dxa"/>
            <w:vMerge w:val="continue"/>
            <w:tcBorders>
              <w:left w:val="single" w:color="auto" w:sz="18" w:space="0"/>
              <w:bottom w:val="single" w:color="auto" w:sz="18" w:space="0"/>
              <w:right w:val="single" w:color="auto" w:sz="4" w:space="0"/>
            </w:tcBorders>
            <w:noWrap/>
            <w:textDirection w:val="btLr"/>
            <w:vAlign w:val="center"/>
          </w:tcPr>
          <w:p>
            <w:pPr>
              <w:spacing w:line="360" w:lineRule="exact"/>
              <w:ind w:left="113" w:right="113"/>
              <w:jc w:val="center"/>
              <w:rPr>
                <w:rFonts w:ascii="宋体" w:hAnsi="宋体"/>
                <w:sz w:val="24"/>
              </w:rPr>
            </w:pPr>
          </w:p>
        </w:tc>
        <w:tc>
          <w:tcPr>
            <w:tcW w:w="768" w:type="dxa"/>
            <w:tcBorders>
              <w:top w:val="single" w:color="auto" w:sz="4" w:space="0"/>
              <w:left w:val="single" w:color="auto" w:sz="4" w:space="0"/>
              <w:bottom w:val="single" w:color="auto" w:sz="18" w:space="0"/>
              <w:right w:val="single" w:color="auto" w:sz="4" w:space="0"/>
            </w:tcBorders>
            <w:noWrap/>
            <w:textDirection w:val="btLr"/>
            <w:vAlign w:val="center"/>
          </w:tcPr>
          <w:p>
            <w:pPr>
              <w:spacing w:line="360" w:lineRule="exact"/>
              <w:ind w:left="113" w:right="113"/>
              <w:jc w:val="center"/>
              <w:rPr>
                <w:rFonts w:ascii="宋体" w:hAnsi="宋体"/>
                <w:sz w:val="24"/>
              </w:rPr>
            </w:pPr>
            <w:r>
              <w:rPr>
                <w:rFonts w:hint="eastAsia" w:ascii="宋体" w:hAnsi="宋体"/>
                <w:sz w:val="24"/>
              </w:rPr>
              <w:t>序号</w:t>
            </w:r>
          </w:p>
        </w:tc>
        <w:tc>
          <w:tcPr>
            <w:tcW w:w="554" w:type="dxa"/>
            <w:tcBorders>
              <w:top w:val="single" w:color="auto" w:sz="4" w:space="0"/>
              <w:left w:val="single" w:color="auto" w:sz="4" w:space="0"/>
              <w:bottom w:val="single" w:color="auto" w:sz="18" w:space="0"/>
              <w:right w:val="single" w:color="auto" w:sz="4" w:space="0"/>
            </w:tcBorders>
            <w:noWrap/>
            <w:textDirection w:val="btLr"/>
            <w:vAlign w:val="center"/>
          </w:tcPr>
          <w:p>
            <w:pPr>
              <w:spacing w:line="360" w:lineRule="exact"/>
              <w:ind w:left="113" w:right="113"/>
              <w:jc w:val="center"/>
              <w:rPr>
                <w:rFonts w:ascii="宋体" w:hAnsi="宋体"/>
                <w:sz w:val="24"/>
              </w:rPr>
            </w:pPr>
            <w:r>
              <w:rPr>
                <w:rFonts w:hint="eastAsia" w:ascii="宋体" w:hAnsi="宋体"/>
                <w:sz w:val="24"/>
              </w:rPr>
              <w:t>1</w:t>
            </w:r>
          </w:p>
        </w:tc>
        <w:tc>
          <w:tcPr>
            <w:tcW w:w="500" w:type="dxa"/>
            <w:tcBorders>
              <w:top w:val="single" w:color="auto" w:sz="4" w:space="0"/>
              <w:left w:val="single" w:color="auto" w:sz="4" w:space="0"/>
              <w:bottom w:val="single" w:color="auto" w:sz="18" w:space="0"/>
              <w:right w:val="single" w:color="auto" w:sz="4" w:space="0"/>
            </w:tcBorders>
            <w:noWrap/>
            <w:textDirection w:val="btLr"/>
            <w:vAlign w:val="center"/>
          </w:tcPr>
          <w:p>
            <w:pPr>
              <w:spacing w:line="360" w:lineRule="exact"/>
              <w:ind w:left="113" w:right="113"/>
              <w:jc w:val="center"/>
              <w:rPr>
                <w:rFonts w:ascii="宋体" w:hAnsi="宋体"/>
                <w:sz w:val="24"/>
              </w:rPr>
            </w:pPr>
            <w:r>
              <w:rPr>
                <w:rFonts w:hint="eastAsia" w:ascii="宋体" w:hAnsi="宋体"/>
                <w:sz w:val="24"/>
              </w:rPr>
              <w:t>2</w:t>
            </w:r>
          </w:p>
        </w:tc>
        <w:tc>
          <w:tcPr>
            <w:tcW w:w="499" w:type="dxa"/>
            <w:tcBorders>
              <w:top w:val="single" w:color="auto" w:sz="4" w:space="0"/>
              <w:left w:val="single" w:color="auto" w:sz="4" w:space="0"/>
              <w:bottom w:val="single" w:color="auto" w:sz="18" w:space="0"/>
              <w:right w:val="single" w:color="auto" w:sz="4" w:space="0"/>
            </w:tcBorders>
            <w:noWrap/>
            <w:textDirection w:val="btLr"/>
            <w:vAlign w:val="center"/>
          </w:tcPr>
          <w:p>
            <w:pPr>
              <w:spacing w:line="360" w:lineRule="exact"/>
              <w:ind w:left="113" w:right="113"/>
              <w:jc w:val="center"/>
              <w:rPr>
                <w:rFonts w:ascii="宋体" w:hAnsi="宋体"/>
                <w:sz w:val="24"/>
              </w:rPr>
            </w:pPr>
            <w:r>
              <w:rPr>
                <w:rFonts w:hint="eastAsia" w:ascii="宋体" w:hAnsi="宋体"/>
                <w:sz w:val="24"/>
              </w:rPr>
              <w:t>3</w:t>
            </w:r>
          </w:p>
        </w:tc>
        <w:tc>
          <w:tcPr>
            <w:tcW w:w="499" w:type="dxa"/>
            <w:tcBorders>
              <w:top w:val="single" w:color="auto" w:sz="4" w:space="0"/>
              <w:left w:val="single" w:color="auto" w:sz="4" w:space="0"/>
              <w:bottom w:val="single" w:color="auto" w:sz="18" w:space="0"/>
              <w:right w:val="single" w:color="auto" w:sz="4" w:space="0"/>
            </w:tcBorders>
            <w:noWrap/>
            <w:textDirection w:val="btLr"/>
            <w:vAlign w:val="center"/>
          </w:tcPr>
          <w:p>
            <w:pPr>
              <w:spacing w:line="360" w:lineRule="exact"/>
              <w:ind w:left="113" w:right="113"/>
              <w:jc w:val="center"/>
              <w:rPr>
                <w:rFonts w:ascii="宋体" w:hAnsi="宋体"/>
                <w:sz w:val="24"/>
              </w:rPr>
            </w:pPr>
            <w:r>
              <w:rPr>
                <w:rFonts w:hint="eastAsia" w:ascii="宋体" w:hAnsi="宋体"/>
                <w:sz w:val="24"/>
              </w:rPr>
              <w:t>4</w:t>
            </w:r>
          </w:p>
        </w:tc>
        <w:tc>
          <w:tcPr>
            <w:tcW w:w="499" w:type="dxa"/>
            <w:tcBorders>
              <w:top w:val="single" w:color="auto" w:sz="4" w:space="0"/>
              <w:left w:val="single" w:color="auto" w:sz="4" w:space="0"/>
              <w:bottom w:val="single" w:color="auto" w:sz="18" w:space="0"/>
              <w:right w:val="single" w:color="auto" w:sz="4" w:space="0"/>
            </w:tcBorders>
            <w:noWrap/>
            <w:textDirection w:val="btLr"/>
            <w:vAlign w:val="center"/>
          </w:tcPr>
          <w:p>
            <w:pPr>
              <w:spacing w:line="360" w:lineRule="exact"/>
              <w:ind w:left="113" w:right="113"/>
              <w:jc w:val="center"/>
              <w:rPr>
                <w:rFonts w:ascii="宋体" w:hAnsi="宋体"/>
                <w:sz w:val="24"/>
              </w:rPr>
            </w:pPr>
            <w:r>
              <w:rPr>
                <w:rFonts w:hint="eastAsia" w:ascii="宋体" w:hAnsi="宋体"/>
                <w:sz w:val="24"/>
              </w:rPr>
              <w:t>5</w:t>
            </w:r>
          </w:p>
        </w:tc>
        <w:tc>
          <w:tcPr>
            <w:tcW w:w="499" w:type="dxa"/>
            <w:tcBorders>
              <w:top w:val="single" w:color="auto" w:sz="4" w:space="0"/>
              <w:left w:val="single" w:color="auto" w:sz="4" w:space="0"/>
              <w:bottom w:val="single" w:color="auto" w:sz="18" w:space="0"/>
              <w:right w:val="single" w:color="auto" w:sz="4" w:space="0"/>
            </w:tcBorders>
            <w:noWrap/>
            <w:textDirection w:val="btLr"/>
            <w:vAlign w:val="center"/>
          </w:tcPr>
          <w:p>
            <w:pPr>
              <w:spacing w:line="360" w:lineRule="exact"/>
              <w:ind w:left="113" w:right="113"/>
              <w:jc w:val="center"/>
              <w:rPr>
                <w:rFonts w:ascii="宋体" w:hAnsi="宋体"/>
                <w:sz w:val="24"/>
              </w:rPr>
            </w:pPr>
            <w:r>
              <w:rPr>
                <w:rFonts w:hint="eastAsia" w:ascii="宋体" w:hAnsi="宋体"/>
                <w:sz w:val="24"/>
              </w:rPr>
              <w:t>6</w:t>
            </w:r>
          </w:p>
        </w:tc>
        <w:tc>
          <w:tcPr>
            <w:tcW w:w="499" w:type="dxa"/>
            <w:tcBorders>
              <w:top w:val="single" w:color="auto" w:sz="4" w:space="0"/>
              <w:left w:val="single" w:color="auto" w:sz="4" w:space="0"/>
              <w:bottom w:val="single" w:color="auto" w:sz="18" w:space="0"/>
              <w:right w:val="single" w:color="auto" w:sz="4" w:space="0"/>
            </w:tcBorders>
            <w:noWrap/>
            <w:textDirection w:val="btLr"/>
            <w:vAlign w:val="center"/>
          </w:tcPr>
          <w:p>
            <w:pPr>
              <w:spacing w:line="360" w:lineRule="exact"/>
              <w:ind w:left="113" w:right="113"/>
              <w:jc w:val="center"/>
              <w:rPr>
                <w:rFonts w:ascii="宋体" w:hAnsi="宋体"/>
                <w:sz w:val="24"/>
              </w:rPr>
            </w:pPr>
            <w:r>
              <w:rPr>
                <w:rFonts w:hint="eastAsia" w:ascii="宋体" w:hAnsi="宋体"/>
                <w:sz w:val="24"/>
              </w:rPr>
              <w:t>7</w:t>
            </w:r>
          </w:p>
        </w:tc>
        <w:tc>
          <w:tcPr>
            <w:tcW w:w="499" w:type="dxa"/>
            <w:tcBorders>
              <w:top w:val="single" w:color="auto" w:sz="4" w:space="0"/>
              <w:left w:val="single" w:color="auto" w:sz="4" w:space="0"/>
              <w:bottom w:val="single" w:color="auto" w:sz="18" w:space="0"/>
              <w:right w:val="single" w:color="auto" w:sz="4" w:space="0"/>
            </w:tcBorders>
            <w:noWrap/>
            <w:textDirection w:val="btLr"/>
            <w:vAlign w:val="center"/>
          </w:tcPr>
          <w:p>
            <w:pPr>
              <w:spacing w:line="360" w:lineRule="exact"/>
              <w:ind w:left="113" w:right="113"/>
              <w:jc w:val="center"/>
              <w:rPr>
                <w:rFonts w:ascii="宋体" w:hAnsi="宋体"/>
                <w:sz w:val="24"/>
              </w:rPr>
            </w:pPr>
            <w:r>
              <w:rPr>
                <w:rFonts w:hint="eastAsia" w:ascii="宋体" w:hAnsi="宋体"/>
                <w:sz w:val="24"/>
              </w:rPr>
              <w:t>8</w:t>
            </w:r>
          </w:p>
        </w:tc>
        <w:tc>
          <w:tcPr>
            <w:tcW w:w="499" w:type="dxa"/>
            <w:tcBorders>
              <w:top w:val="single" w:color="auto" w:sz="4" w:space="0"/>
              <w:left w:val="single" w:color="auto" w:sz="4" w:space="0"/>
              <w:bottom w:val="single" w:color="auto" w:sz="18" w:space="0"/>
              <w:right w:val="single" w:color="auto" w:sz="4" w:space="0"/>
            </w:tcBorders>
            <w:noWrap/>
            <w:textDirection w:val="btLr"/>
            <w:vAlign w:val="center"/>
          </w:tcPr>
          <w:p>
            <w:pPr>
              <w:spacing w:line="360" w:lineRule="exact"/>
              <w:ind w:left="113" w:right="113"/>
              <w:jc w:val="center"/>
              <w:rPr>
                <w:rFonts w:ascii="宋体" w:hAnsi="宋体"/>
                <w:sz w:val="24"/>
              </w:rPr>
            </w:pPr>
            <w:r>
              <w:rPr>
                <w:rFonts w:hint="eastAsia" w:ascii="宋体" w:hAnsi="宋体"/>
                <w:sz w:val="24"/>
              </w:rPr>
              <w:t>9</w:t>
            </w:r>
          </w:p>
        </w:tc>
        <w:tc>
          <w:tcPr>
            <w:tcW w:w="499" w:type="dxa"/>
            <w:tcBorders>
              <w:top w:val="single" w:color="auto" w:sz="4" w:space="0"/>
              <w:left w:val="single" w:color="auto" w:sz="4" w:space="0"/>
              <w:bottom w:val="single" w:color="auto" w:sz="18" w:space="0"/>
              <w:right w:val="single" w:color="auto" w:sz="4" w:space="0"/>
            </w:tcBorders>
            <w:noWrap/>
            <w:textDirection w:val="btLr"/>
            <w:vAlign w:val="center"/>
          </w:tcPr>
          <w:p>
            <w:pPr>
              <w:spacing w:line="360" w:lineRule="exact"/>
              <w:ind w:left="113" w:right="113"/>
              <w:jc w:val="center"/>
              <w:rPr>
                <w:rFonts w:ascii="宋体" w:hAnsi="宋体"/>
                <w:sz w:val="24"/>
              </w:rPr>
            </w:pPr>
            <w:r>
              <w:rPr>
                <w:rFonts w:hint="eastAsia" w:ascii="宋体" w:hAnsi="宋体"/>
                <w:sz w:val="24"/>
              </w:rPr>
              <w:t>10</w:t>
            </w:r>
          </w:p>
        </w:tc>
        <w:tc>
          <w:tcPr>
            <w:tcW w:w="499" w:type="dxa"/>
            <w:tcBorders>
              <w:top w:val="single" w:color="auto" w:sz="4" w:space="0"/>
              <w:left w:val="single" w:color="auto" w:sz="4" w:space="0"/>
              <w:bottom w:val="single" w:color="auto" w:sz="18" w:space="0"/>
              <w:right w:val="single" w:color="auto" w:sz="4" w:space="0"/>
            </w:tcBorders>
            <w:noWrap/>
            <w:textDirection w:val="btLr"/>
            <w:vAlign w:val="center"/>
          </w:tcPr>
          <w:p>
            <w:pPr>
              <w:spacing w:line="360" w:lineRule="exact"/>
              <w:ind w:left="113" w:right="113"/>
              <w:jc w:val="center"/>
              <w:rPr>
                <w:rFonts w:ascii="宋体" w:hAnsi="宋体"/>
                <w:sz w:val="24"/>
              </w:rPr>
            </w:pPr>
            <w:r>
              <w:rPr>
                <w:rFonts w:hint="eastAsia" w:ascii="宋体" w:hAnsi="宋体"/>
                <w:sz w:val="24"/>
              </w:rPr>
              <w:t>11</w:t>
            </w:r>
          </w:p>
        </w:tc>
        <w:tc>
          <w:tcPr>
            <w:tcW w:w="499" w:type="dxa"/>
            <w:tcBorders>
              <w:top w:val="single" w:color="auto" w:sz="4" w:space="0"/>
              <w:left w:val="single" w:color="auto" w:sz="4" w:space="0"/>
              <w:bottom w:val="single" w:color="auto" w:sz="18" w:space="0"/>
              <w:right w:val="single" w:color="auto" w:sz="4" w:space="0"/>
            </w:tcBorders>
            <w:noWrap/>
            <w:textDirection w:val="btLr"/>
            <w:vAlign w:val="center"/>
          </w:tcPr>
          <w:p>
            <w:pPr>
              <w:spacing w:line="360" w:lineRule="exact"/>
              <w:ind w:left="113" w:right="113"/>
              <w:jc w:val="center"/>
              <w:rPr>
                <w:rFonts w:ascii="宋体" w:hAnsi="宋体"/>
                <w:sz w:val="24"/>
              </w:rPr>
            </w:pPr>
            <w:r>
              <w:rPr>
                <w:rFonts w:hint="eastAsia" w:ascii="宋体" w:hAnsi="宋体"/>
                <w:sz w:val="24"/>
              </w:rPr>
              <w:t>12</w:t>
            </w:r>
          </w:p>
        </w:tc>
        <w:tc>
          <w:tcPr>
            <w:tcW w:w="499" w:type="dxa"/>
            <w:tcBorders>
              <w:top w:val="single" w:color="auto" w:sz="4" w:space="0"/>
              <w:left w:val="single" w:color="auto" w:sz="4" w:space="0"/>
              <w:bottom w:val="single" w:color="auto" w:sz="18" w:space="0"/>
              <w:right w:val="single" w:color="auto" w:sz="4" w:space="0"/>
            </w:tcBorders>
            <w:noWrap/>
            <w:textDirection w:val="btLr"/>
            <w:vAlign w:val="center"/>
          </w:tcPr>
          <w:p>
            <w:pPr>
              <w:spacing w:line="360" w:lineRule="exact"/>
              <w:ind w:left="113" w:right="113"/>
              <w:jc w:val="center"/>
              <w:rPr>
                <w:rFonts w:ascii="宋体" w:hAnsi="宋体"/>
                <w:sz w:val="24"/>
              </w:rPr>
            </w:pPr>
            <w:r>
              <w:rPr>
                <w:rFonts w:hint="eastAsia" w:ascii="宋体" w:hAnsi="宋体"/>
                <w:sz w:val="24"/>
              </w:rPr>
              <w:t>13</w:t>
            </w:r>
          </w:p>
        </w:tc>
        <w:tc>
          <w:tcPr>
            <w:tcW w:w="499" w:type="dxa"/>
            <w:tcBorders>
              <w:top w:val="single" w:color="auto" w:sz="4" w:space="0"/>
              <w:left w:val="single" w:color="auto" w:sz="4" w:space="0"/>
              <w:bottom w:val="single" w:color="auto" w:sz="18" w:space="0"/>
              <w:right w:val="single" w:color="auto" w:sz="4" w:space="0"/>
            </w:tcBorders>
            <w:noWrap/>
            <w:textDirection w:val="btLr"/>
            <w:vAlign w:val="center"/>
          </w:tcPr>
          <w:p>
            <w:pPr>
              <w:spacing w:line="360" w:lineRule="exact"/>
              <w:ind w:left="113" w:right="113"/>
              <w:jc w:val="center"/>
              <w:rPr>
                <w:rFonts w:ascii="宋体" w:hAnsi="宋体"/>
                <w:sz w:val="24"/>
              </w:rPr>
            </w:pPr>
            <w:r>
              <w:rPr>
                <w:rFonts w:hint="eastAsia" w:ascii="宋体" w:hAnsi="宋体"/>
                <w:sz w:val="24"/>
              </w:rPr>
              <w:t>14</w:t>
            </w:r>
          </w:p>
        </w:tc>
        <w:tc>
          <w:tcPr>
            <w:tcW w:w="499" w:type="dxa"/>
            <w:tcBorders>
              <w:top w:val="single" w:color="auto" w:sz="4" w:space="0"/>
              <w:left w:val="single" w:color="auto" w:sz="4" w:space="0"/>
              <w:bottom w:val="single" w:color="auto" w:sz="18" w:space="0"/>
              <w:right w:val="single" w:color="auto" w:sz="18" w:space="0"/>
            </w:tcBorders>
            <w:noWrap/>
            <w:textDirection w:val="btLr"/>
            <w:vAlign w:val="center"/>
          </w:tcPr>
          <w:p>
            <w:pPr>
              <w:spacing w:line="360" w:lineRule="exact"/>
              <w:ind w:left="113" w:right="113"/>
              <w:jc w:val="center"/>
              <w:rPr>
                <w:rFonts w:ascii="宋体" w:hAnsi="宋体"/>
                <w:sz w:val="24"/>
              </w:rPr>
            </w:pPr>
            <w:r>
              <w:rPr>
                <w:rFonts w:hint="eastAsia" w:ascii="宋体" w:hAnsi="宋体"/>
                <w:sz w:val="24"/>
              </w:rPr>
              <w:t>15</w:t>
            </w:r>
          </w:p>
        </w:tc>
      </w:tr>
    </w:tbl>
    <w:p>
      <w:pPr>
        <w:pStyle w:val="15"/>
        <w:spacing w:line="360" w:lineRule="auto"/>
        <w:ind w:firstLineChars="0"/>
        <w:jc w:val="left"/>
        <w:rPr>
          <w:rFonts w:ascii="宋体" w:hAnsi="宋体" w:eastAsia="宋体"/>
          <w:spacing w:val="0"/>
          <w:sz w:val="24"/>
        </w:rPr>
      </w:pPr>
      <w:r>
        <w:rPr>
          <w:rFonts w:hint="eastAsia" w:ascii="宋体" w:hAnsi="宋体"/>
          <w:sz w:val="30"/>
        </w:rPr>
        <w:br w:type="page"/>
      </w:r>
    </w:p>
    <w:p>
      <w:pPr>
        <w:pStyle w:val="3"/>
        <w:spacing w:line="360" w:lineRule="auto"/>
        <w:jc w:val="center"/>
        <w:rPr>
          <w:rFonts w:ascii="宋体" w:hAnsi="宋体" w:cs="宋体"/>
          <w:kern w:val="2"/>
          <w:sz w:val="52"/>
          <w:szCs w:val="52"/>
        </w:rPr>
      </w:pPr>
      <w:bookmarkStart w:id="69" w:name="_Toc259555315"/>
      <w:bookmarkStart w:id="70" w:name="_Toc32335"/>
      <w:bookmarkStart w:id="71" w:name="_Toc26636"/>
      <w:bookmarkStart w:id="72" w:name="_Toc27933"/>
      <w:bookmarkStart w:id="73" w:name="_Toc15262"/>
      <w:bookmarkStart w:id="74" w:name="_Toc499060887"/>
      <w:r>
        <w:rPr>
          <w:rFonts w:hint="eastAsia" w:ascii="宋体" w:hAnsi="宋体" w:cs="宋体"/>
          <w:kern w:val="2"/>
          <w:sz w:val="52"/>
          <w:szCs w:val="52"/>
        </w:rPr>
        <w:t>第四章  评选办法</w:t>
      </w:r>
      <w:bookmarkEnd w:id="69"/>
      <w:bookmarkEnd w:id="70"/>
      <w:bookmarkEnd w:id="71"/>
      <w:bookmarkEnd w:id="72"/>
      <w:bookmarkEnd w:id="73"/>
      <w:bookmarkEnd w:id="74"/>
    </w:p>
    <w:p>
      <w:pPr>
        <w:spacing w:line="360" w:lineRule="auto"/>
        <w:jc w:val="center"/>
        <w:rPr>
          <w:rFonts w:ascii="宋体" w:hAnsi="宋体"/>
          <w:b/>
          <w:sz w:val="36"/>
          <w:szCs w:val="36"/>
        </w:rPr>
      </w:pPr>
    </w:p>
    <w:p>
      <w:pPr>
        <w:spacing w:line="400" w:lineRule="exact"/>
        <w:jc w:val="center"/>
        <w:rPr>
          <w:rFonts w:ascii="宋体" w:hAnsi="宋体"/>
          <w:b/>
          <w:spacing w:val="20"/>
          <w:sz w:val="36"/>
          <w:szCs w:val="36"/>
        </w:rPr>
      </w:pPr>
      <w:r>
        <w:rPr>
          <w:rFonts w:hint="eastAsia" w:ascii="宋体" w:hAnsi="宋体"/>
          <w:b/>
          <w:spacing w:val="20"/>
          <w:sz w:val="36"/>
          <w:szCs w:val="36"/>
        </w:rPr>
        <w:t>评 选 办 法</w:t>
      </w:r>
    </w:p>
    <w:p>
      <w:pPr>
        <w:rPr>
          <w:rFonts w:ascii="宋体" w:hAnsi="宋体"/>
        </w:rPr>
      </w:pP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sz w:val="24"/>
        </w:rPr>
      </w:pPr>
      <w:bookmarkStart w:id="75" w:name="_Toc259555316"/>
      <w:r>
        <w:rPr>
          <w:rFonts w:hint="eastAsia" w:ascii="宋体" w:hAnsi="宋体"/>
          <w:b/>
          <w:sz w:val="24"/>
        </w:rPr>
        <w:t>1．评选委员会及其职责</w:t>
      </w:r>
      <w:bookmarkEnd w:id="75"/>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1.1评选委员会由招选人依法组建，负责评选活动。评选工作由招选人按照相关法律法规规定组织的评选委员会负责评选。</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1.2评选委员会由招选人在开标前组成。</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1.3评选委员会应坚持“公开、公正、公平、诚信、科学、择优”的原则，根据评选办法，对投标文件进行认真评审，完成评选报告；向招选人报告评审意见，推荐综合得分由高至低排序的前一～三名为第一中选候选人、第二中选候选人和第三中选候选人。</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sz w:val="24"/>
        </w:rPr>
      </w:pPr>
      <w:bookmarkStart w:id="76" w:name="_Toc259555317"/>
      <w:r>
        <w:rPr>
          <w:rFonts w:hint="eastAsia" w:ascii="宋体" w:hAnsi="宋体"/>
          <w:b/>
          <w:sz w:val="24"/>
        </w:rPr>
        <w:t>2．评选依据</w:t>
      </w:r>
      <w:bookmarkEnd w:id="76"/>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2.1《中华人民共和国招标投标法》；</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2.2《广州市建设工程招标投标管理办法》</w:t>
      </w:r>
    </w:p>
    <w:p>
      <w:pPr>
        <w:keepNext w:val="0"/>
        <w:keepLines w:val="0"/>
        <w:pageBreakBefore w:val="0"/>
        <w:widowControl w:val="0"/>
        <w:tabs>
          <w:tab w:val="left" w:pos="1620"/>
        </w:tabs>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2.3本招选项目的招选文件；</w:t>
      </w:r>
    </w:p>
    <w:p>
      <w:pPr>
        <w:keepNext w:val="0"/>
        <w:keepLines w:val="0"/>
        <w:pageBreakBefore w:val="0"/>
        <w:widowControl w:val="0"/>
        <w:tabs>
          <w:tab w:val="left" w:pos="1620"/>
        </w:tabs>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2.4省、市各级行政主管部门颁发的其他有关招投标相关法律法规。</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sz w:val="24"/>
        </w:rPr>
      </w:pPr>
      <w:bookmarkStart w:id="77" w:name="_Toc259555318"/>
      <w:r>
        <w:rPr>
          <w:rFonts w:hint="eastAsia" w:ascii="宋体" w:hAnsi="宋体"/>
          <w:b/>
          <w:sz w:val="24"/>
        </w:rPr>
        <w:t>3．评选专家守则</w:t>
      </w:r>
      <w:bookmarkEnd w:id="77"/>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3.1所有参加评选的专家必须遵守国家、地方政府制定的有关工程招标投标的法则、规定，遵守有关工程招标投标的保密制度；如有违反者，给予行政处分；情节严重，构成犯罪的，由司法机关依法追究其刑事责任。</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3.2参与评选专家：</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3.2.1必须遵守评选纪律、不得泄密；</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3.2.2必须公正、不得循私；</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3.2.3必须科学、不得草率；</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3.2.4必须客观、不得带有成见；</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3.2.5必须平等、不得强加于人；</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3.2.6必须严谨、不得随意马虎。</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sz w:val="24"/>
        </w:rPr>
      </w:pPr>
      <w:bookmarkStart w:id="78" w:name="_Toc259555319"/>
      <w:r>
        <w:rPr>
          <w:rFonts w:hint="eastAsia" w:ascii="宋体" w:hAnsi="宋体"/>
          <w:b/>
          <w:sz w:val="24"/>
        </w:rPr>
        <w:t>4．评选程序</w:t>
      </w:r>
      <w:bookmarkEnd w:id="78"/>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4.1开标程序：</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4.1.1开标由招选人主持；</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4.1.2由招选人或其推选的代表检查投标文件的密封情况；</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4.1.3投标截止期前，各投标人</w:t>
      </w:r>
      <w:r>
        <w:rPr>
          <w:rFonts w:hint="eastAsia" w:ascii="宋体" w:hAnsi="宋体"/>
          <w:sz w:val="24"/>
          <w:lang w:eastAsia="zh-CN"/>
        </w:rPr>
        <w:t>提交</w:t>
      </w:r>
      <w:r>
        <w:rPr>
          <w:rFonts w:hint="eastAsia" w:ascii="宋体" w:hAnsi="宋体"/>
          <w:sz w:val="24"/>
        </w:rPr>
        <w:t>投标文件至招选文件规定的地点。投标人代表凭法定代表人证明书原件、法定代表人授权委托证明书原件（仅限于法定代表人不出席而委托授权代表出席开标会的）、本人身份证原件</w:t>
      </w:r>
      <w:r>
        <w:rPr>
          <w:rFonts w:hint="eastAsia" w:ascii="宋体" w:hAnsi="宋体"/>
          <w:sz w:val="24"/>
          <w:lang w:eastAsia="zh-CN"/>
        </w:rPr>
        <w:t>提交</w:t>
      </w:r>
      <w:r>
        <w:rPr>
          <w:rFonts w:hint="eastAsia" w:ascii="宋体" w:hAnsi="宋体"/>
          <w:sz w:val="24"/>
        </w:rPr>
        <w:t>投标文件，招选人进行检验确认有效后，才接收其投标文件；</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4.1.4开标前投标人没有按要求提供投标担保的，其投标文件不予开启并由招选人作废标处理；</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4.1.5若投标人代表对开标过程提出异议，该投标人代表须同时出示本人身份证原件；</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4.1.6开标，由招选人宣读a、投标人名称；b、标书密封情况；c、投标报价等主要内容以及开标记录表中的其他必要内容；</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4.1.7招选人对开标过程进行记录，并存档备查，投标人在开标记录上签字；</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4.2若出现《否决性条款汇总》（附件一）中第一点所述情况，招选人将拒绝接收其投标文件；</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4.3招选人将上述符合要求的投标文件，送至评选委员会进行评审。</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4.4评选程序：</w:t>
      </w:r>
    </w:p>
    <w:p>
      <w:pPr>
        <w:keepNext w:val="0"/>
        <w:keepLines w:val="0"/>
        <w:pageBreakBefore w:val="0"/>
        <w:widowControl w:val="0"/>
        <w:kinsoku/>
        <w:wordWrap/>
        <w:overflowPunct/>
        <w:topLinePunct w:val="0"/>
        <w:autoSpaceDE/>
        <w:autoSpaceDN/>
        <w:bidi w:val="0"/>
        <w:adjustRightInd/>
        <w:spacing w:line="360" w:lineRule="auto"/>
        <w:ind w:firstLine="470" w:firstLineChars="196"/>
        <w:textAlignment w:val="auto"/>
        <w:rPr>
          <w:rFonts w:ascii="宋体" w:hAnsi="宋体"/>
          <w:sz w:val="24"/>
        </w:rPr>
      </w:pPr>
      <w:r>
        <w:rPr>
          <w:rFonts w:hint="eastAsia" w:ascii="宋体" w:hAnsi="宋体"/>
          <w:sz w:val="24"/>
        </w:rPr>
        <w:t>4.4.1投标人资格审查：</w:t>
      </w:r>
      <w:r>
        <w:rPr>
          <w:rFonts w:hint="eastAsia" w:ascii="宋体" w:hAnsi="宋体"/>
          <w:b/>
          <w:sz w:val="24"/>
          <w:szCs w:val="24"/>
          <w:u w:val="single"/>
        </w:rPr>
        <w:t>详见附件一《否决性条款汇总》中的《资格审查表》。</w:t>
      </w:r>
      <w:r>
        <w:rPr>
          <w:rFonts w:hint="eastAsia" w:ascii="宋体" w:hAnsi="宋体"/>
          <w:sz w:val="24"/>
          <w:szCs w:val="24"/>
          <w:u w:val="single"/>
        </w:rPr>
        <w:t>资格审查文件不符合《资格审查表》中所列情形之一的，不予通过资格审查，不能进入下一阶段评选。</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4.4.2商务、技术标文件符合性审查：</w:t>
      </w:r>
      <w:r>
        <w:rPr>
          <w:rFonts w:hint="eastAsia" w:ascii="宋体" w:hAnsi="宋体"/>
          <w:b/>
          <w:sz w:val="24"/>
          <w:szCs w:val="24"/>
          <w:u w:val="single"/>
        </w:rPr>
        <w:t>详见附件一《否决性条款汇总》中的《符合性审查表》。</w:t>
      </w:r>
      <w:r>
        <w:rPr>
          <w:rFonts w:hint="eastAsia" w:ascii="宋体" w:hAnsi="宋体"/>
          <w:sz w:val="24"/>
          <w:szCs w:val="24"/>
          <w:u w:val="single"/>
        </w:rPr>
        <w:t>商务、技术标文件不符合《符合性审查表》中所列情形之一的，不予通过符合性审查，不能进入下一阶段评选。</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4.4.3投标文件综合评审；</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4.4.4计算投标人总得分（投标人总得分=资信业绩评分标准（2</w:t>
      </w:r>
      <w:r>
        <w:rPr>
          <w:rFonts w:hint="eastAsia" w:ascii="宋体" w:hAnsi="宋体"/>
          <w:sz w:val="24"/>
          <w:lang w:val="en-US" w:eastAsia="zh-CN"/>
        </w:rPr>
        <w:t>0</w:t>
      </w:r>
      <w:r>
        <w:rPr>
          <w:rFonts w:hint="eastAsia" w:ascii="宋体" w:hAnsi="宋体"/>
          <w:sz w:val="24"/>
        </w:rPr>
        <w:t>分）+监理实施方案（</w:t>
      </w:r>
      <w:r>
        <w:rPr>
          <w:rFonts w:hint="eastAsia" w:ascii="宋体" w:hAnsi="宋体"/>
          <w:sz w:val="24"/>
          <w:lang w:val="en-US" w:eastAsia="zh-CN"/>
        </w:rPr>
        <w:t>20</w:t>
      </w:r>
      <w:r>
        <w:rPr>
          <w:rFonts w:hint="eastAsia" w:ascii="宋体" w:hAnsi="宋体"/>
          <w:sz w:val="24"/>
        </w:rPr>
        <w:t>分）+监理报价（50分）+诚信得分（10分））；</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4.4.5完成评选报告，向招选人推荐中选候选人。</w:t>
      </w:r>
    </w:p>
    <w:p>
      <w:pPr>
        <w:keepNext w:val="0"/>
        <w:keepLines w:val="0"/>
        <w:pageBreakBefore w:val="0"/>
        <w:widowControl w:val="0"/>
        <w:kinsoku/>
        <w:wordWrap/>
        <w:overflowPunct/>
        <w:topLinePunct w:val="0"/>
        <w:autoSpaceDE/>
        <w:autoSpaceDN/>
        <w:bidi w:val="0"/>
        <w:adjustRightInd/>
        <w:spacing w:before="156" w:beforeLines="50" w:line="360" w:lineRule="auto"/>
        <w:ind w:firstLine="361" w:firstLineChars="150"/>
        <w:textAlignment w:val="auto"/>
        <w:rPr>
          <w:rFonts w:ascii="宋体" w:hAnsi="宋体"/>
          <w:b/>
          <w:sz w:val="24"/>
        </w:rPr>
      </w:pPr>
      <w:bookmarkStart w:id="79" w:name="_Toc259555320"/>
      <w:r>
        <w:rPr>
          <w:rFonts w:hint="eastAsia" w:ascii="宋体" w:hAnsi="宋体"/>
          <w:b/>
          <w:sz w:val="24"/>
        </w:rPr>
        <w:t>5．投标文件的有效性</w:t>
      </w:r>
      <w:bookmarkEnd w:id="79"/>
    </w:p>
    <w:p>
      <w:pPr>
        <w:keepNext w:val="0"/>
        <w:keepLines w:val="0"/>
        <w:pageBreakBefore w:val="0"/>
        <w:widowControl w:val="0"/>
        <w:kinsoku/>
        <w:wordWrap/>
        <w:overflowPunct/>
        <w:topLinePunct w:val="0"/>
        <w:autoSpaceDE/>
        <w:autoSpaceDN/>
        <w:bidi w:val="0"/>
        <w:adjustRightInd/>
        <w:spacing w:before="156" w:beforeLines="50" w:line="360" w:lineRule="auto"/>
        <w:ind w:firstLine="361" w:firstLineChars="150"/>
        <w:textAlignment w:val="auto"/>
        <w:rPr>
          <w:rFonts w:ascii="宋体" w:hAnsi="宋体"/>
          <w:b/>
          <w:sz w:val="24"/>
        </w:rPr>
      </w:pPr>
      <w:r>
        <w:rPr>
          <w:rFonts w:hint="eastAsia" w:ascii="宋体" w:hAnsi="宋体"/>
          <w:b/>
          <w:sz w:val="24"/>
        </w:rPr>
        <w:t>（详见《否决性条款汇总》（附件一）和第二点《符合性审查表》）</w:t>
      </w:r>
    </w:p>
    <w:p>
      <w:pPr>
        <w:keepNext w:val="0"/>
        <w:keepLines w:val="0"/>
        <w:pageBreakBefore w:val="0"/>
        <w:widowControl w:val="0"/>
        <w:kinsoku/>
        <w:wordWrap/>
        <w:overflowPunct/>
        <w:topLinePunct w:val="0"/>
        <w:autoSpaceDE/>
        <w:autoSpaceDN/>
        <w:bidi w:val="0"/>
        <w:adjustRightInd/>
        <w:spacing w:before="156" w:beforeLines="50" w:line="360" w:lineRule="auto"/>
        <w:ind w:firstLine="480" w:firstLineChars="200"/>
        <w:textAlignment w:val="auto"/>
        <w:rPr>
          <w:rFonts w:ascii="宋体" w:hAnsi="宋体"/>
          <w:sz w:val="24"/>
        </w:rPr>
      </w:pPr>
      <w:r>
        <w:rPr>
          <w:rFonts w:hint="eastAsia" w:ascii="宋体" w:hAnsi="宋体"/>
          <w:sz w:val="24"/>
        </w:rPr>
        <w:t>投标文件实质上响应招选文件要求的标准：投标文件中没有出现任一种属于招选文件所列出的废标或无效标情形。</w:t>
      </w:r>
    </w:p>
    <w:p>
      <w:pPr>
        <w:keepNext w:val="0"/>
        <w:keepLines w:val="0"/>
        <w:pageBreakBefore w:val="0"/>
        <w:widowControl w:val="0"/>
        <w:kinsoku/>
        <w:wordWrap/>
        <w:overflowPunct/>
        <w:topLinePunct w:val="0"/>
        <w:autoSpaceDE/>
        <w:autoSpaceDN/>
        <w:bidi w:val="0"/>
        <w:adjustRightInd/>
        <w:spacing w:before="156" w:beforeLines="50" w:line="360" w:lineRule="auto"/>
        <w:ind w:firstLine="479" w:firstLineChars="199"/>
        <w:textAlignment w:val="auto"/>
        <w:rPr>
          <w:rFonts w:ascii="宋体" w:hAnsi="宋体"/>
          <w:b/>
          <w:sz w:val="24"/>
        </w:rPr>
      </w:pPr>
      <w:bookmarkStart w:id="80" w:name="_Toc259555321"/>
      <w:r>
        <w:rPr>
          <w:rFonts w:hint="eastAsia" w:ascii="宋体" w:hAnsi="宋体"/>
          <w:b/>
          <w:sz w:val="24"/>
        </w:rPr>
        <w:t>6．评选细则</w:t>
      </w:r>
      <w:bookmarkEnd w:id="80"/>
      <w:bookmarkStart w:id="81" w:name="_Toc259555325"/>
      <w:r>
        <w:rPr>
          <w:rFonts w:hint="eastAsia" w:ascii="宋体" w:hAnsi="宋体"/>
          <w:sz w:val="24"/>
        </w:rPr>
        <w:t>（截标后，开标时间因故推迟的，相关评选信息仍以原定的开标时间为准）</w:t>
      </w:r>
    </w:p>
    <w:p>
      <w:pPr>
        <w:keepNext w:val="0"/>
        <w:keepLines w:val="0"/>
        <w:pageBreakBefore w:val="0"/>
        <w:widowControl w:val="0"/>
        <w:kinsoku/>
        <w:wordWrap/>
        <w:overflowPunct/>
        <w:topLinePunct w:val="0"/>
        <w:autoSpaceDE/>
        <w:autoSpaceDN/>
        <w:bidi w:val="0"/>
        <w:adjustRightInd/>
        <w:spacing w:line="360" w:lineRule="auto"/>
        <w:ind w:firstLine="472" w:firstLineChars="197"/>
        <w:textAlignment w:val="auto"/>
        <w:rPr>
          <w:rFonts w:ascii="宋体" w:hAnsi="宋体"/>
          <w:sz w:val="24"/>
        </w:rPr>
      </w:pPr>
      <w:r>
        <w:rPr>
          <w:rFonts w:hint="eastAsia" w:ascii="宋体" w:hAnsi="宋体"/>
          <w:sz w:val="24"/>
        </w:rPr>
        <w:t>6.1由评委对各投标文件的符合性进行审查（详见《符合性审查表》），对通过符合性审查的投标文件再进行综合评审。符合性审查不进行详细打分，标准只有通过与不通过之分。评委对各投标文件评审时，对每个不通过评审的具体项目须在评选报告中详细说明。</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 xml:space="preserve">6.2综合评审采用百分制评分法，主要对投标人的资信业绩评分标准（20分）、监理实施方案（20分）、监理报价（50分）、诚信得分（10分）四个方面进行评议。每方面得分权重由招选人在招选文件中确定，但不得超出上述分值范围。同时，招选人须在招选文件中详细列出每子项的具体评分标准（详见《监 理 综 合 评 分 表》（附件二）。 </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0"/>
        <w:rPr>
          <w:rFonts w:ascii="宋体" w:hAnsi="宋体"/>
          <w:sz w:val="24"/>
        </w:rPr>
      </w:pPr>
      <w:bookmarkStart w:id="82" w:name="_Toc20505"/>
      <w:bookmarkStart w:id="83" w:name="_Toc5335"/>
      <w:bookmarkStart w:id="84" w:name="_Toc499060888"/>
      <w:bookmarkStart w:id="85" w:name="_Toc22309"/>
      <w:bookmarkStart w:id="86" w:name="_Toc32309"/>
      <w:bookmarkStart w:id="87" w:name="_Toc13650"/>
      <w:r>
        <w:rPr>
          <w:rFonts w:hint="eastAsia" w:ascii="宋体" w:hAnsi="宋体"/>
          <w:sz w:val="24"/>
        </w:rPr>
        <w:t>6.3监理报价的算术复核</w:t>
      </w:r>
      <w:bookmarkEnd w:id="82"/>
      <w:bookmarkEnd w:id="83"/>
      <w:bookmarkEnd w:id="84"/>
      <w:bookmarkEnd w:id="85"/>
      <w:bookmarkEnd w:id="86"/>
      <w:bookmarkEnd w:id="87"/>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ascii="宋体" w:hAnsi="宋体"/>
          <w:sz w:val="24"/>
        </w:rPr>
      </w:pPr>
      <w:bookmarkStart w:id="88" w:name="_Toc3973"/>
      <w:r>
        <w:rPr>
          <w:rFonts w:hint="eastAsia" w:ascii="宋体" w:hAnsi="宋体"/>
          <w:sz w:val="24"/>
        </w:rPr>
        <w:t>投标文件符合性审查后综合评审前，评选委员会将对确定为实质上响应招选文件要求的投标文件中的监理报价进行复核，出现以下情况时，应如下处理：</w:t>
      </w:r>
      <w:bookmarkEnd w:id="88"/>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bookmarkStart w:id="89" w:name="_Toc22380"/>
      <w:r>
        <w:rPr>
          <w:rFonts w:hint="eastAsia" w:ascii="宋体" w:hAnsi="宋体"/>
          <w:sz w:val="24"/>
        </w:rPr>
        <w:t>6.3.1当投标人监理服务收费基准价有误时，按招选文件中规定的监理服务收费基准价修正监理服务收费；</w:t>
      </w:r>
      <w:bookmarkEnd w:id="89"/>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6.3.2当投标人监理服务收费基准价与浮动幅度值的乘积不一致时，按招选文件规定的基准价及投标人所报的浮动幅度值重新计算，修正监理服务收费；</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6.3.3用数字表示的数额与用文字表示的数额不一致时，以文字数额为准。</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0"/>
        <w:rPr>
          <w:rFonts w:ascii="宋体" w:hAnsi="宋体"/>
          <w:sz w:val="24"/>
        </w:rPr>
      </w:pPr>
      <w:bookmarkStart w:id="90" w:name="_Toc30711"/>
      <w:bookmarkStart w:id="91" w:name="_Toc499060889"/>
      <w:bookmarkStart w:id="92" w:name="_Toc25631"/>
      <w:bookmarkStart w:id="93" w:name="_Toc31534"/>
      <w:bookmarkStart w:id="94" w:name="_Toc16271"/>
      <w:bookmarkStart w:id="95" w:name="_Toc16448"/>
      <w:r>
        <w:rPr>
          <w:rFonts w:hint="eastAsia" w:ascii="宋体" w:hAnsi="宋体"/>
          <w:sz w:val="24"/>
        </w:rPr>
        <w:t>6.4综合评分要求</w:t>
      </w:r>
      <w:bookmarkEnd w:id="90"/>
      <w:bookmarkEnd w:id="91"/>
      <w:bookmarkEnd w:id="92"/>
      <w:bookmarkEnd w:id="93"/>
      <w:bookmarkEnd w:id="94"/>
      <w:bookmarkEnd w:id="95"/>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6.4.1评委应严格按照本评选办法对投标文件独立进行评议，作出个人评价。</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6.4.2评委按照个人评议情况对各分项内容进行各自记名打分。</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6.4.3投标人的综合得分为各评委评出各有效投标文件得分后，去掉一个最高分和一个最低分，再取算术平均值作为该单位的最后得分；（分数出现小数点时，保留小数点后二位，第三位小数四舍五入）。</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0"/>
        <w:rPr>
          <w:rFonts w:ascii="宋体" w:hAnsi="宋体"/>
          <w:sz w:val="24"/>
        </w:rPr>
      </w:pPr>
      <w:bookmarkStart w:id="96" w:name="_Toc12894"/>
      <w:bookmarkStart w:id="97" w:name="_Toc2263"/>
      <w:bookmarkStart w:id="98" w:name="_Toc499060890"/>
      <w:bookmarkStart w:id="99" w:name="_Toc11409"/>
      <w:bookmarkStart w:id="100" w:name="_Toc14149"/>
      <w:bookmarkStart w:id="101" w:name="_Toc20175"/>
      <w:r>
        <w:rPr>
          <w:rFonts w:hint="eastAsia" w:ascii="宋体" w:hAnsi="宋体"/>
          <w:sz w:val="24"/>
        </w:rPr>
        <w:t>6.5计算投标人的总得分（满分为100分）</w:t>
      </w:r>
      <w:bookmarkEnd w:id="96"/>
      <w:bookmarkEnd w:id="97"/>
      <w:bookmarkEnd w:id="98"/>
      <w:bookmarkEnd w:id="99"/>
      <w:bookmarkEnd w:id="100"/>
      <w:bookmarkEnd w:id="101"/>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6.5.1权重分配：资信业绩评分标准2</w:t>
      </w:r>
      <w:r>
        <w:rPr>
          <w:rFonts w:hint="eastAsia" w:ascii="宋体" w:hAnsi="宋体"/>
          <w:sz w:val="24"/>
          <w:lang w:val="en-US" w:eastAsia="zh-CN"/>
        </w:rPr>
        <w:t>0</w:t>
      </w:r>
      <w:r>
        <w:rPr>
          <w:rFonts w:hint="eastAsia" w:ascii="宋体" w:hAnsi="宋体"/>
          <w:sz w:val="24"/>
        </w:rPr>
        <w:t>%，监理实施方案</w:t>
      </w:r>
      <w:r>
        <w:rPr>
          <w:rFonts w:hint="eastAsia" w:ascii="宋体" w:hAnsi="宋体"/>
          <w:sz w:val="24"/>
          <w:lang w:val="en-US" w:eastAsia="zh-CN"/>
        </w:rPr>
        <w:t>20</w:t>
      </w:r>
      <w:r>
        <w:rPr>
          <w:rFonts w:hint="eastAsia" w:ascii="宋体" w:hAnsi="宋体"/>
          <w:sz w:val="24"/>
        </w:rPr>
        <w:t>%，监理报价50%，诚信得分10%。</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6.5.2投标人总得分=资信业绩评分标准（20分）+监理实施方案（20分）+监理报价（50分）+诚信得分（10分）。</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6.6评审过程中，评选委员会可在必要时安排投标人对有关细节加以澄清，但这种澄清不应使其它投标人处于不公平的地位。</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6.7评选委员会依据有关法律、法规和招选文件的规定对投标文件进行评审，经评定的有效投标人不足三名时，招选人应当依法重新组织招选。</w:t>
      </w:r>
    </w:p>
    <w:p>
      <w:pPr>
        <w:keepNext w:val="0"/>
        <w:keepLines w:val="0"/>
        <w:pageBreakBefore w:val="0"/>
        <w:widowControl w:val="0"/>
        <w:kinsoku/>
        <w:wordWrap/>
        <w:overflowPunct/>
        <w:topLinePunct w:val="0"/>
        <w:autoSpaceDE/>
        <w:autoSpaceDN/>
        <w:bidi w:val="0"/>
        <w:adjustRightInd/>
        <w:spacing w:before="156" w:beforeLines="50" w:line="360" w:lineRule="auto"/>
        <w:ind w:firstLine="482" w:firstLineChars="200"/>
        <w:textAlignment w:val="auto"/>
        <w:outlineLvl w:val="0"/>
        <w:rPr>
          <w:rFonts w:ascii="宋体" w:hAnsi="宋体"/>
          <w:b/>
          <w:bCs/>
          <w:sz w:val="24"/>
        </w:rPr>
      </w:pPr>
      <w:bookmarkStart w:id="102" w:name="_Toc1879"/>
      <w:bookmarkStart w:id="103" w:name="_Toc29832"/>
      <w:bookmarkStart w:id="104" w:name="_Toc499060891"/>
      <w:bookmarkStart w:id="105" w:name="_Toc3710"/>
      <w:bookmarkStart w:id="106" w:name="_Toc18768"/>
      <w:bookmarkStart w:id="107" w:name="_Toc21320"/>
      <w:r>
        <w:rPr>
          <w:rFonts w:hint="eastAsia" w:ascii="宋体" w:hAnsi="宋体"/>
          <w:b/>
          <w:bCs/>
          <w:sz w:val="24"/>
        </w:rPr>
        <w:t>7．推荐中选候选人</w:t>
      </w:r>
      <w:bookmarkEnd w:id="102"/>
      <w:bookmarkEnd w:id="103"/>
      <w:bookmarkEnd w:id="104"/>
      <w:bookmarkEnd w:id="105"/>
      <w:bookmarkEnd w:id="106"/>
      <w:bookmarkEnd w:id="107"/>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bookmarkStart w:id="108" w:name="_Toc18851"/>
      <w:r>
        <w:rPr>
          <w:rFonts w:hint="eastAsia" w:ascii="宋体" w:hAnsi="宋体"/>
          <w:sz w:val="24"/>
        </w:rPr>
        <w:t>以上评审完成后，按投标人的总得分从高到低进行排序。评选委员会编写评选报告，并全体签字确认，推荐满足招选文件要求且总得分排序的名次最高者为第一中选候选人，推荐满足招选文件要求且总得分排序的名次次高者为第二中选候选人，推荐满足招选文件要求且总得分排序第三高者为第三中选候选人。</w:t>
      </w:r>
      <w:bookmarkEnd w:id="108"/>
    </w:p>
    <w:p>
      <w:pPr>
        <w:keepNext w:val="0"/>
        <w:keepLines w:val="0"/>
        <w:pageBreakBefore w:val="0"/>
        <w:widowControl w:val="0"/>
        <w:kinsoku/>
        <w:wordWrap/>
        <w:overflowPunct/>
        <w:topLinePunct w:val="0"/>
        <w:autoSpaceDE/>
        <w:autoSpaceDN/>
        <w:bidi w:val="0"/>
        <w:adjustRightInd/>
        <w:spacing w:before="156" w:beforeLines="50" w:line="360" w:lineRule="auto"/>
        <w:ind w:firstLine="482" w:firstLineChars="200"/>
        <w:textAlignment w:val="auto"/>
        <w:outlineLvl w:val="0"/>
        <w:rPr>
          <w:rFonts w:ascii="宋体" w:hAnsi="宋体"/>
          <w:b/>
          <w:bCs/>
          <w:sz w:val="24"/>
        </w:rPr>
      </w:pPr>
      <w:bookmarkStart w:id="109" w:name="_Toc13870"/>
      <w:bookmarkStart w:id="110" w:name="_Toc30060"/>
      <w:bookmarkStart w:id="111" w:name="_Toc499060892"/>
      <w:bookmarkStart w:id="112" w:name="_Toc27985"/>
      <w:bookmarkStart w:id="113" w:name="_Toc2281"/>
      <w:bookmarkStart w:id="114" w:name="_Toc9720"/>
      <w:r>
        <w:rPr>
          <w:rFonts w:hint="eastAsia" w:ascii="宋体" w:hAnsi="宋体"/>
          <w:b/>
          <w:bCs/>
          <w:sz w:val="24"/>
        </w:rPr>
        <w:t>8．审定中选人</w:t>
      </w:r>
      <w:bookmarkEnd w:id="109"/>
      <w:bookmarkEnd w:id="110"/>
      <w:bookmarkEnd w:id="111"/>
      <w:bookmarkEnd w:id="112"/>
      <w:bookmarkEnd w:id="113"/>
      <w:bookmarkEnd w:id="114"/>
    </w:p>
    <w:p>
      <w:pPr>
        <w:keepNext w:val="0"/>
        <w:keepLines w:val="0"/>
        <w:pageBreakBefore w:val="0"/>
        <w:widowControl w:val="0"/>
        <w:tabs>
          <w:tab w:val="left" w:pos="720"/>
        </w:tabs>
        <w:kinsoku/>
        <w:wordWrap/>
        <w:overflowPunct/>
        <w:topLinePunct w:val="0"/>
        <w:autoSpaceDE/>
        <w:autoSpaceDN/>
        <w:bidi w:val="0"/>
        <w:adjustRightInd/>
        <w:snapToGrid w:val="0"/>
        <w:spacing w:line="360" w:lineRule="auto"/>
        <w:ind w:firstLine="480"/>
        <w:textAlignment w:val="auto"/>
        <w:rPr>
          <w:rFonts w:ascii="宋体" w:hAnsi="宋体"/>
          <w:sz w:val="24"/>
        </w:rPr>
      </w:pPr>
      <w:r>
        <w:rPr>
          <w:rFonts w:hint="eastAsia" w:ascii="宋体" w:hAnsi="宋体"/>
          <w:sz w:val="24"/>
        </w:rPr>
        <w:t>招选人根据评选委员会</w:t>
      </w:r>
      <w:r>
        <w:rPr>
          <w:rFonts w:hint="eastAsia" w:ascii="宋体" w:hAnsi="宋体"/>
          <w:sz w:val="24"/>
          <w:lang w:eastAsia="zh-CN"/>
        </w:rPr>
        <w:t>提交</w:t>
      </w:r>
      <w:r>
        <w:rPr>
          <w:rFonts w:hint="eastAsia" w:ascii="宋体" w:hAnsi="宋体"/>
          <w:sz w:val="24"/>
        </w:rPr>
        <w:t>的评选报告，最终依法审定中选人。但在签订合同前的任何时候，评委、招选人以及其他人员发现投标人在招选过程有弄虚作假行为、虚报资料情况，一经查实，立即取消其中选人资格。</w:t>
      </w:r>
    </w:p>
    <w:p>
      <w:pPr>
        <w:tabs>
          <w:tab w:val="left" w:pos="720"/>
        </w:tabs>
        <w:snapToGrid w:val="0"/>
        <w:spacing w:line="360" w:lineRule="auto"/>
        <w:ind w:firstLine="495"/>
        <w:rPr>
          <w:rFonts w:ascii="宋体" w:hAnsi="宋体"/>
          <w:position w:val="12"/>
          <w:sz w:val="24"/>
        </w:rPr>
      </w:pPr>
      <w:r>
        <w:rPr>
          <w:rFonts w:hint="eastAsia" w:ascii="宋体" w:hAnsi="宋体"/>
          <w:sz w:val="24"/>
        </w:rPr>
        <w:br w:type="page"/>
      </w:r>
      <w:r>
        <w:rPr>
          <w:rFonts w:hint="eastAsia" w:ascii="宋体" w:hAnsi="宋体"/>
          <w:sz w:val="24"/>
        </w:rPr>
        <w:t>附件一：</w:t>
      </w:r>
    </w:p>
    <w:p>
      <w:pPr>
        <w:tabs>
          <w:tab w:val="left" w:pos="720"/>
        </w:tabs>
        <w:snapToGrid w:val="0"/>
        <w:spacing w:line="360" w:lineRule="auto"/>
        <w:jc w:val="center"/>
        <w:rPr>
          <w:rFonts w:ascii="宋体" w:hAnsi="宋体"/>
          <w:b/>
          <w:spacing w:val="20"/>
          <w:sz w:val="28"/>
          <w:szCs w:val="28"/>
        </w:rPr>
      </w:pPr>
      <w:r>
        <w:rPr>
          <w:rFonts w:hint="eastAsia" w:ascii="宋体" w:hAnsi="宋体"/>
          <w:b/>
          <w:spacing w:val="20"/>
          <w:sz w:val="28"/>
          <w:szCs w:val="28"/>
        </w:rPr>
        <w:t>否决性条款汇总</w:t>
      </w:r>
    </w:p>
    <w:p>
      <w:pPr>
        <w:keepNext w:val="0"/>
        <w:keepLines w:val="0"/>
        <w:pageBreakBefore w:val="0"/>
        <w:widowControl w:val="0"/>
        <w:tabs>
          <w:tab w:val="left" w:pos="720"/>
        </w:tabs>
        <w:kinsoku/>
        <w:wordWrap/>
        <w:overflowPunct/>
        <w:topLinePunct w:val="0"/>
        <w:autoSpaceDE/>
        <w:autoSpaceDN/>
        <w:bidi w:val="0"/>
        <w:adjustRightInd/>
        <w:snapToGrid w:val="0"/>
        <w:spacing w:line="360" w:lineRule="auto"/>
        <w:ind w:firstLine="495"/>
        <w:textAlignment w:val="auto"/>
        <w:rPr>
          <w:rFonts w:ascii="宋体" w:hAnsi="宋体"/>
          <w:sz w:val="24"/>
        </w:rPr>
      </w:pPr>
      <w:r>
        <w:rPr>
          <w:rFonts w:hint="eastAsia" w:ascii="宋体" w:hAnsi="宋体"/>
          <w:sz w:val="24"/>
        </w:rPr>
        <w:t>招选人应当在招选文件中将投标文件的否决性条款单列，招选文件的其他条款与该单列的否决性条款不一致的，以单列的否决性条款为准。如招选文件补遗中增加否决性条款的，招选人应当重新单列完整的投标文件否决性条款，并发给所有投标人。</w:t>
      </w:r>
    </w:p>
    <w:p>
      <w:pPr>
        <w:pStyle w:val="41"/>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ascii="宋体" w:hAnsi="宋体"/>
          <w:sz w:val="24"/>
        </w:rPr>
      </w:pPr>
      <w:r>
        <w:rPr>
          <w:rFonts w:hint="eastAsia" w:ascii="宋体" w:hAnsi="宋体"/>
          <w:sz w:val="24"/>
        </w:rPr>
        <w:t>否决性条款是指招选文件中规定的不予受理投标或者作无效标、废标以及不合格标处理等否定投标文件效力的条款。</w:t>
      </w:r>
    </w:p>
    <w:p>
      <w:pPr>
        <w:pStyle w:val="41"/>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ascii="宋体" w:hAnsi="宋体"/>
          <w:sz w:val="24"/>
        </w:rPr>
      </w:pPr>
      <w:bookmarkStart w:id="115" w:name="_Toc26229"/>
      <w:bookmarkStart w:id="116" w:name="_Toc17096"/>
      <w:r>
        <w:rPr>
          <w:rFonts w:hint="eastAsia" w:ascii="宋体" w:hAnsi="宋体"/>
          <w:sz w:val="24"/>
        </w:rPr>
        <w:t>若出现以下情况，招选人将拒绝接收其投标文件：</w:t>
      </w:r>
      <w:bookmarkEnd w:id="115"/>
      <w:bookmarkEnd w:id="116"/>
    </w:p>
    <w:p>
      <w:pPr>
        <w:pStyle w:val="41"/>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ascii="宋体" w:hAnsi="宋体"/>
          <w:sz w:val="24"/>
        </w:rPr>
      </w:pPr>
      <w:r>
        <w:rPr>
          <w:rFonts w:hint="eastAsia" w:ascii="宋体" w:hAnsi="宋体"/>
          <w:sz w:val="24"/>
        </w:rPr>
        <w:t>1、在投标截止期后逾期或未在指定地点</w:t>
      </w:r>
      <w:r>
        <w:rPr>
          <w:rFonts w:hint="eastAsia" w:ascii="宋体" w:hAnsi="宋体"/>
          <w:sz w:val="24"/>
          <w:lang w:eastAsia="zh-CN"/>
        </w:rPr>
        <w:t>提交</w:t>
      </w:r>
      <w:r>
        <w:rPr>
          <w:rFonts w:hint="eastAsia" w:ascii="宋体" w:hAnsi="宋体"/>
          <w:sz w:val="24"/>
        </w:rPr>
        <w:t>投标文件的；</w:t>
      </w:r>
    </w:p>
    <w:p>
      <w:pPr>
        <w:pStyle w:val="41"/>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ascii="宋体" w:hAnsi="宋体"/>
          <w:sz w:val="24"/>
        </w:rPr>
      </w:pPr>
      <w:r>
        <w:rPr>
          <w:rFonts w:hint="eastAsia" w:ascii="宋体" w:hAnsi="宋体"/>
          <w:sz w:val="24"/>
        </w:rPr>
        <w:t>2、投标文件未按招选文件要求密封或未在密封处盖章的；</w:t>
      </w:r>
    </w:p>
    <w:p>
      <w:pPr>
        <w:pStyle w:val="41"/>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ascii="宋体" w:hAnsi="宋体"/>
          <w:sz w:val="24"/>
        </w:rPr>
      </w:pPr>
      <w:r>
        <w:rPr>
          <w:rFonts w:hint="eastAsia" w:ascii="宋体" w:hAnsi="宋体"/>
          <w:sz w:val="24"/>
        </w:rPr>
        <w:t>3、投标人代表未准时出席开标会或未按要求签到的；</w:t>
      </w:r>
    </w:p>
    <w:p>
      <w:pPr>
        <w:pStyle w:val="41"/>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ascii="宋体" w:hAnsi="宋体"/>
          <w:sz w:val="24"/>
        </w:rPr>
      </w:pPr>
      <w:r>
        <w:rPr>
          <w:rFonts w:hint="eastAsia" w:ascii="宋体" w:hAnsi="宋体"/>
          <w:sz w:val="24"/>
        </w:rPr>
        <w:t>4、在投标截止期前，投标人代表未凭法定代表人证明书原件、法定代表人授权委托证明书原件（仅限于法定代表人不出席而委托授权代表出席开标会的）、本人身份证原件</w:t>
      </w:r>
      <w:r>
        <w:rPr>
          <w:rFonts w:hint="eastAsia" w:ascii="宋体" w:hAnsi="宋体"/>
          <w:sz w:val="24"/>
          <w:lang w:eastAsia="zh-CN"/>
        </w:rPr>
        <w:t>提交</w:t>
      </w:r>
      <w:r>
        <w:rPr>
          <w:rFonts w:hint="eastAsia" w:ascii="宋体" w:hAnsi="宋体"/>
          <w:sz w:val="24"/>
        </w:rPr>
        <w:t>投标文件的；</w:t>
      </w:r>
    </w:p>
    <w:p>
      <w:pPr>
        <w:pStyle w:val="41"/>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ascii="宋体" w:hAnsi="宋体"/>
          <w:sz w:val="24"/>
        </w:rPr>
      </w:pPr>
      <w:r>
        <w:rPr>
          <w:rFonts w:hint="eastAsia" w:ascii="宋体" w:hAnsi="宋体"/>
          <w:sz w:val="24"/>
        </w:rPr>
        <w:t>5、开标时投标人没有按要求提供投标担保的；</w:t>
      </w:r>
    </w:p>
    <w:p>
      <w:pPr>
        <w:rPr>
          <w:rFonts w:ascii="宋体" w:hAnsi="宋体"/>
          <w:sz w:val="24"/>
        </w:rPr>
      </w:pPr>
      <w:r>
        <w:rPr>
          <w:rFonts w:hint="eastAsia" w:ascii="宋体" w:hAnsi="宋体"/>
          <w:sz w:val="24"/>
        </w:rPr>
        <w:br w:type="page"/>
      </w:r>
    </w:p>
    <w:p>
      <w:pPr>
        <w:pStyle w:val="41"/>
        <w:spacing w:line="480" w:lineRule="auto"/>
        <w:ind w:firstLine="240"/>
        <w:rPr>
          <w:rFonts w:ascii="宋体" w:hAnsi="宋体"/>
          <w:sz w:val="24"/>
        </w:rPr>
        <w:sectPr>
          <w:headerReference r:id="rId7" w:type="default"/>
          <w:footerReference r:id="rId8" w:type="default"/>
          <w:pgSz w:w="11906" w:h="16838"/>
          <w:pgMar w:top="1474" w:right="1588" w:bottom="1474" w:left="1588" w:header="851" w:footer="992" w:gutter="0"/>
          <w:cols w:space="720" w:num="1"/>
          <w:docGrid w:type="lines" w:linePitch="312" w:charSpace="0"/>
        </w:sectPr>
      </w:pPr>
    </w:p>
    <w:p>
      <w:pPr>
        <w:pStyle w:val="41"/>
        <w:spacing w:line="480" w:lineRule="auto"/>
        <w:ind w:firstLine="240"/>
        <w:rPr>
          <w:rFonts w:ascii="宋体" w:hAnsi="宋体"/>
          <w:sz w:val="24"/>
        </w:rPr>
      </w:pPr>
      <w:r>
        <w:rPr>
          <w:rFonts w:hint="eastAsia" w:ascii="宋体" w:hAnsi="宋体"/>
          <w:sz w:val="24"/>
        </w:rPr>
        <w:t>二、资格审查表（</w:t>
      </w:r>
      <w:r>
        <w:rPr>
          <w:rFonts w:hint="eastAsia" w:ascii="宋体" w:hAnsi="宋体"/>
          <w:b/>
          <w:sz w:val="24"/>
        </w:rPr>
        <w:t>按招选公告投标人合格条件</w:t>
      </w:r>
      <w:r>
        <w:rPr>
          <w:rFonts w:hint="eastAsia" w:ascii="宋体" w:hAnsi="宋体"/>
          <w:sz w:val="24"/>
        </w:rPr>
        <w:t>）</w:t>
      </w:r>
    </w:p>
    <w:p>
      <w:pPr>
        <w:tabs>
          <w:tab w:val="left" w:pos="720"/>
        </w:tabs>
        <w:snapToGrid w:val="0"/>
        <w:spacing w:line="460" w:lineRule="exact"/>
        <w:jc w:val="center"/>
        <w:rPr>
          <w:rFonts w:ascii="宋体" w:hAnsi="宋体"/>
          <w:b/>
          <w:spacing w:val="20"/>
          <w:sz w:val="28"/>
          <w:szCs w:val="28"/>
        </w:rPr>
      </w:pPr>
      <w:r>
        <w:rPr>
          <w:rFonts w:hint="eastAsia" w:ascii="宋体" w:hAnsi="宋体"/>
          <w:b/>
          <w:spacing w:val="20"/>
          <w:sz w:val="28"/>
          <w:szCs w:val="28"/>
        </w:rPr>
        <w:t>资格审查表</w:t>
      </w:r>
    </w:p>
    <w:tbl>
      <w:tblPr>
        <w:tblStyle w:val="42"/>
        <w:tblpPr w:leftFromText="180" w:rightFromText="180" w:vertAnchor="text" w:horzAnchor="margin" w:tblpXSpec="center" w:tblpY="634"/>
        <w:tblOverlap w:val="never"/>
        <w:tblW w:w="15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7622"/>
        <w:gridCol w:w="1461"/>
        <w:gridCol w:w="1461"/>
        <w:gridCol w:w="1461"/>
        <w:gridCol w:w="1461"/>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7" w:type="dxa"/>
            <w:noWrap/>
            <w:vAlign w:val="center"/>
          </w:tcPr>
          <w:p>
            <w:pPr>
              <w:tabs>
                <w:tab w:val="left" w:pos="720"/>
              </w:tabs>
              <w:snapToGrid w:val="0"/>
              <w:jc w:val="center"/>
              <w:rPr>
                <w:rFonts w:ascii="宋体" w:hAnsi="宋体"/>
                <w:sz w:val="24"/>
                <w:szCs w:val="24"/>
              </w:rPr>
            </w:pPr>
            <w:r>
              <w:rPr>
                <w:rFonts w:hint="eastAsia" w:ascii="宋体" w:hAnsi="宋体"/>
                <w:sz w:val="24"/>
                <w:szCs w:val="24"/>
              </w:rPr>
              <w:t>编号</w:t>
            </w:r>
          </w:p>
        </w:tc>
        <w:tc>
          <w:tcPr>
            <w:tcW w:w="6803" w:type="dxa"/>
            <w:tcBorders>
              <w:tl2br w:val="single" w:color="auto" w:sz="4" w:space="0"/>
            </w:tcBorders>
            <w:noWrap/>
            <w:vAlign w:val="center"/>
          </w:tcPr>
          <w:p>
            <w:pPr>
              <w:tabs>
                <w:tab w:val="left" w:pos="720"/>
              </w:tabs>
              <w:snapToGrid w:val="0"/>
              <w:jc w:val="right"/>
              <w:rPr>
                <w:rFonts w:ascii="宋体" w:hAnsi="宋体"/>
                <w:sz w:val="24"/>
                <w:szCs w:val="24"/>
              </w:rPr>
            </w:pPr>
            <w:r>
              <w:rPr>
                <w:rFonts w:hint="eastAsia" w:ascii="宋体" w:hAnsi="宋体"/>
                <w:sz w:val="24"/>
                <w:szCs w:val="24"/>
              </w:rPr>
              <w:t>投标人名称</w:t>
            </w:r>
          </w:p>
          <w:p>
            <w:pPr>
              <w:tabs>
                <w:tab w:val="left" w:pos="720"/>
              </w:tabs>
              <w:snapToGrid w:val="0"/>
              <w:rPr>
                <w:rFonts w:ascii="宋体" w:hAnsi="宋体"/>
                <w:sz w:val="24"/>
                <w:szCs w:val="24"/>
              </w:rPr>
            </w:pPr>
          </w:p>
          <w:p>
            <w:pPr>
              <w:tabs>
                <w:tab w:val="left" w:pos="720"/>
              </w:tabs>
              <w:snapToGrid w:val="0"/>
              <w:rPr>
                <w:rFonts w:ascii="宋体" w:hAnsi="宋体"/>
                <w:sz w:val="24"/>
                <w:szCs w:val="24"/>
              </w:rPr>
            </w:pPr>
            <w:r>
              <w:rPr>
                <w:rFonts w:hint="eastAsia" w:ascii="宋体" w:hAnsi="宋体"/>
                <w:sz w:val="24"/>
                <w:szCs w:val="24"/>
              </w:rPr>
              <w:t>审查项目</w:t>
            </w: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7" w:type="dxa"/>
            <w:noWrap/>
            <w:vAlign w:val="center"/>
          </w:tcPr>
          <w:p>
            <w:pPr>
              <w:tabs>
                <w:tab w:val="left" w:pos="720"/>
              </w:tabs>
              <w:snapToGrid w:val="0"/>
              <w:jc w:val="center"/>
              <w:rPr>
                <w:rFonts w:ascii="宋体" w:hAnsi="宋体"/>
                <w:sz w:val="24"/>
                <w:szCs w:val="24"/>
              </w:rPr>
            </w:pPr>
            <w:r>
              <w:rPr>
                <w:rFonts w:hint="eastAsia" w:ascii="宋体" w:hAnsi="宋体"/>
                <w:sz w:val="24"/>
                <w:szCs w:val="24"/>
              </w:rPr>
              <w:t>1</w:t>
            </w:r>
          </w:p>
        </w:tc>
        <w:tc>
          <w:tcPr>
            <w:tcW w:w="6803" w:type="dxa"/>
            <w:noWrap/>
            <w:vAlign w:val="center"/>
          </w:tcPr>
          <w:p>
            <w:pPr>
              <w:tabs>
                <w:tab w:val="left" w:pos="720"/>
              </w:tabs>
              <w:snapToGrid w:val="0"/>
              <w:rPr>
                <w:rFonts w:ascii="宋体" w:hAnsi="宋体"/>
                <w:sz w:val="24"/>
                <w:szCs w:val="24"/>
              </w:rPr>
            </w:pPr>
            <w:r>
              <w:rPr>
                <w:rFonts w:hint="eastAsia" w:ascii="宋体" w:hAnsi="宋体"/>
                <w:sz w:val="24"/>
                <w:szCs w:val="24"/>
              </w:rPr>
              <w:t>投标人参加投标的意思表达清楚，投标人代表被授权有效（投标申请人声明、法定代表人证明书；委托投标的还应提供法人授权委托证明书）。</w:t>
            </w: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7" w:type="dxa"/>
            <w:noWrap/>
            <w:vAlign w:val="center"/>
          </w:tcPr>
          <w:p>
            <w:pPr>
              <w:tabs>
                <w:tab w:val="left" w:pos="720"/>
              </w:tabs>
              <w:snapToGrid w:val="0"/>
              <w:jc w:val="center"/>
              <w:rPr>
                <w:rFonts w:ascii="宋体" w:hAnsi="宋体"/>
                <w:sz w:val="24"/>
                <w:szCs w:val="24"/>
              </w:rPr>
            </w:pPr>
            <w:r>
              <w:rPr>
                <w:rFonts w:hint="eastAsia" w:ascii="宋体" w:hAnsi="宋体"/>
                <w:sz w:val="24"/>
                <w:szCs w:val="24"/>
              </w:rPr>
              <w:t>2</w:t>
            </w:r>
          </w:p>
        </w:tc>
        <w:tc>
          <w:tcPr>
            <w:tcW w:w="6803" w:type="dxa"/>
            <w:noWrap/>
            <w:vAlign w:val="center"/>
          </w:tcPr>
          <w:p>
            <w:pPr>
              <w:tabs>
                <w:tab w:val="left" w:pos="720"/>
              </w:tabs>
              <w:snapToGrid w:val="0"/>
              <w:rPr>
                <w:rFonts w:ascii="宋体" w:hAnsi="宋体"/>
                <w:sz w:val="24"/>
                <w:szCs w:val="24"/>
              </w:rPr>
            </w:pPr>
            <w:r>
              <w:rPr>
                <w:rFonts w:hint="eastAsia" w:ascii="宋体" w:hAnsi="宋体"/>
                <w:sz w:val="24"/>
                <w:szCs w:val="24"/>
              </w:rPr>
              <w:t>投标人均具有独立法人资格，按国家法律经营（营业执照复印件）。</w:t>
            </w: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7" w:type="dxa"/>
            <w:noWrap/>
            <w:vAlign w:val="center"/>
          </w:tcPr>
          <w:p>
            <w:pPr>
              <w:tabs>
                <w:tab w:val="left" w:pos="720"/>
              </w:tabs>
              <w:snapToGrid w:val="0"/>
              <w:jc w:val="center"/>
              <w:rPr>
                <w:rFonts w:ascii="宋体" w:hAnsi="宋体"/>
                <w:sz w:val="24"/>
                <w:szCs w:val="24"/>
              </w:rPr>
            </w:pPr>
            <w:r>
              <w:rPr>
                <w:rFonts w:hint="eastAsia" w:ascii="宋体" w:hAnsi="宋体"/>
                <w:sz w:val="24"/>
                <w:szCs w:val="24"/>
              </w:rPr>
              <w:t>3</w:t>
            </w:r>
          </w:p>
        </w:tc>
        <w:tc>
          <w:tcPr>
            <w:tcW w:w="6803" w:type="dxa"/>
            <w:noWrap/>
            <w:vAlign w:val="center"/>
          </w:tcPr>
          <w:p>
            <w:pPr>
              <w:tabs>
                <w:tab w:val="left" w:pos="720"/>
              </w:tabs>
              <w:snapToGrid w:val="0"/>
              <w:rPr>
                <w:rFonts w:ascii="宋体" w:hAnsi="宋体"/>
                <w:sz w:val="24"/>
                <w:szCs w:val="24"/>
              </w:rPr>
            </w:pPr>
            <w:r>
              <w:rPr>
                <w:rFonts w:hint="eastAsia" w:ascii="宋体" w:hAnsi="宋体"/>
                <w:sz w:val="24"/>
                <w:szCs w:val="24"/>
              </w:rPr>
              <w:t>投标人具有承接本工程所需的</w:t>
            </w:r>
            <w:r>
              <w:rPr>
                <w:rFonts w:hint="eastAsia" w:ascii="宋体" w:hAnsi="宋体"/>
                <w:sz w:val="24"/>
                <w:szCs w:val="24"/>
                <w:u w:val="single"/>
              </w:rPr>
              <w:t>工程监理综合资质或房屋建筑工程监理乙级或以上资质</w:t>
            </w:r>
            <w:r>
              <w:rPr>
                <w:rFonts w:hint="eastAsia" w:ascii="宋体" w:hAnsi="宋体"/>
                <w:sz w:val="24"/>
                <w:szCs w:val="24"/>
              </w:rPr>
              <w:t>。</w:t>
            </w: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7" w:type="dxa"/>
            <w:noWrap/>
            <w:vAlign w:val="center"/>
          </w:tcPr>
          <w:p>
            <w:pPr>
              <w:tabs>
                <w:tab w:val="left" w:pos="720"/>
              </w:tabs>
              <w:snapToGrid w:val="0"/>
              <w:jc w:val="center"/>
              <w:rPr>
                <w:rFonts w:ascii="宋体" w:hAnsi="宋体"/>
                <w:sz w:val="24"/>
                <w:szCs w:val="24"/>
              </w:rPr>
            </w:pPr>
            <w:r>
              <w:rPr>
                <w:rFonts w:hint="eastAsia" w:ascii="宋体" w:hAnsi="宋体"/>
                <w:sz w:val="24"/>
                <w:szCs w:val="24"/>
              </w:rPr>
              <w:t>4</w:t>
            </w:r>
          </w:p>
        </w:tc>
        <w:tc>
          <w:tcPr>
            <w:tcW w:w="6803" w:type="dxa"/>
            <w:noWrap/>
            <w:vAlign w:val="center"/>
          </w:tcPr>
          <w:p>
            <w:pPr>
              <w:tabs>
                <w:tab w:val="left" w:pos="720"/>
              </w:tabs>
              <w:snapToGrid w:val="0"/>
              <w:rPr>
                <w:rFonts w:ascii="宋体" w:hAnsi="宋体"/>
                <w:sz w:val="24"/>
                <w:szCs w:val="24"/>
              </w:rPr>
            </w:pPr>
            <w:r>
              <w:rPr>
                <w:rFonts w:hint="eastAsia" w:ascii="宋体" w:hAnsi="宋体"/>
                <w:sz w:val="24"/>
                <w:szCs w:val="24"/>
              </w:rPr>
              <w:t>项目总监理工程师必须具有建设部2006年4月1日后颁发的中华人民共和国注册监理工程师注册执业证书，且其注册证书专业为</w:t>
            </w:r>
            <w:r>
              <w:rPr>
                <w:rFonts w:hint="eastAsia" w:ascii="宋体" w:hAnsi="宋体"/>
                <w:sz w:val="24"/>
                <w:szCs w:val="24"/>
                <w:u w:val="single"/>
              </w:rPr>
              <w:t>房屋建筑</w:t>
            </w:r>
            <w:r>
              <w:rPr>
                <w:rFonts w:hint="eastAsia" w:ascii="宋体" w:hAnsi="宋体"/>
                <w:sz w:val="24"/>
                <w:szCs w:val="24"/>
              </w:rPr>
              <w:t>工程，注册执业单位为本公司。</w:t>
            </w: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7" w:type="dxa"/>
            <w:noWrap/>
            <w:vAlign w:val="center"/>
          </w:tcPr>
          <w:p>
            <w:pPr>
              <w:tabs>
                <w:tab w:val="left" w:pos="720"/>
              </w:tabs>
              <w:snapToGrid w:val="0"/>
              <w:jc w:val="center"/>
              <w:rPr>
                <w:rFonts w:ascii="宋体" w:hAnsi="宋体"/>
                <w:sz w:val="24"/>
                <w:szCs w:val="24"/>
              </w:rPr>
            </w:pPr>
            <w:r>
              <w:rPr>
                <w:rFonts w:hint="eastAsia" w:ascii="宋体" w:hAnsi="宋体"/>
                <w:sz w:val="24"/>
                <w:szCs w:val="24"/>
              </w:rPr>
              <w:t>5</w:t>
            </w:r>
          </w:p>
        </w:tc>
        <w:tc>
          <w:tcPr>
            <w:tcW w:w="6803" w:type="dxa"/>
            <w:noWrap/>
            <w:vAlign w:val="center"/>
          </w:tcPr>
          <w:p>
            <w:pPr>
              <w:tabs>
                <w:tab w:val="left" w:pos="720"/>
              </w:tabs>
              <w:snapToGrid w:val="0"/>
              <w:rPr>
                <w:rFonts w:ascii="宋体" w:hAnsi="宋体"/>
                <w:sz w:val="24"/>
                <w:szCs w:val="24"/>
              </w:rPr>
            </w:pPr>
            <w:r>
              <w:rPr>
                <w:rFonts w:hint="eastAsia" w:ascii="宋体" w:hAnsi="宋体"/>
                <w:sz w:val="24"/>
                <w:szCs w:val="24"/>
              </w:rPr>
              <w:t>投标人近三年（2020年1月1日）完成过质量合格的类似工程业绩。需同时提供中标通知书或相关证明、施工监理合同、竣工验收报告或竣工验收证明。时间以竣工验收报告或竣工验收证明所载的时间为准。</w:t>
            </w: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7" w:type="dxa"/>
            <w:noWrap/>
            <w:vAlign w:val="center"/>
          </w:tcPr>
          <w:p>
            <w:pPr>
              <w:tabs>
                <w:tab w:val="left" w:pos="720"/>
              </w:tabs>
              <w:snapToGrid w:val="0"/>
              <w:jc w:val="center"/>
              <w:rPr>
                <w:rFonts w:ascii="宋体" w:hAnsi="宋体"/>
                <w:sz w:val="24"/>
                <w:szCs w:val="24"/>
              </w:rPr>
            </w:pPr>
            <w:r>
              <w:rPr>
                <w:rFonts w:hint="eastAsia" w:ascii="宋体" w:hAnsi="宋体"/>
                <w:sz w:val="24"/>
                <w:szCs w:val="24"/>
              </w:rPr>
              <w:t>6</w:t>
            </w:r>
          </w:p>
        </w:tc>
        <w:tc>
          <w:tcPr>
            <w:tcW w:w="6803" w:type="dxa"/>
            <w:noWrap/>
            <w:vAlign w:val="center"/>
          </w:tcPr>
          <w:p>
            <w:pPr>
              <w:tabs>
                <w:tab w:val="left" w:pos="720"/>
              </w:tabs>
              <w:snapToGrid w:val="0"/>
              <w:rPr>
                <w:rFonts w:ascii="宋体" w:hAnsi="宋体"/>
                <w:sz w:val="24"/>
                <w:szCs w:val="24"/>
              </w:rPr>
            </w:pPr>
            <w:r>
              <w:rPr>
                <w:rFonts w:hint="eastAsia" w:ascii="宋体" w:hAnsi="宋体"/>
                <w:sz w:val="24"/>
                <w:szCs w:val="24"/>
              </w:rPr>
              <w:t>投标人已按照招标公告附件一的内容签署盖章的投标人声明。</w:t>
            </w: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7" w:type="dxa"/>
            <w:noWrap/>
            <w:vAlign w:val="center"/>
          </w:tcPr>
          <w:p>
            <w:pPr>
              <w:tabs>
                <w:tab w:val="left" w:pos="720"/>
              </w:tabs>
              <w:snapToGrid w:val="0"/>
              <w:jc w:val="center"/>
              <w:rPr>
                <w:rFonts w:ascii="宋体" w:hAnsi="宋体"/>
                <w:sz w:val="24"/>
                <w:szCs w:val="24"/>
              </w:rPr>
            </w:pPr>
            <w:r>
              <w:rPr>
                <w:rFonts w:hint="eastAsia" w:ascii="宋体" w:hAnsi="宋体"/>
                <w:sz w:val="24"/>
                <w:szCs w:val="24"/>
              </w:rPr>
              <w:t>7</w:t>
            </w:r>
          </w:p>
        </w:tc>
        <w:tc>
          <w:tcPr>
            <w:tcW w:w="6803" w:type="dxa"/>
            <w:noWrap/>
            <w:vAlign w:val="center"/>
          </w:tcPr>
          <w:p>
            <w:pPr>
              <w:tabs>
                <w:tab w:val="left" w:pos="720"/>
              </w:tabs>
              <w:snapToGrid w:val="0"/>
              <w:rPr>
                <w:rFonts w:ascii="宋体" w:hAnsi="宋体"/>
                <w:sz w:val="24"/>
                <w:szCs w:val="24"/>
              </w:rPr>
            </w:pPr>
            <w:r>
              <w:rPr>
                <w:rFonts w:hint="eastAsia" w:ascii="宋体" w:hAnsi="宋体"/>
                <w:sz w:val="24"/>
                <w:szCs w:val="24"/>
              </w:rPr>
              <w:t>投标人为非联合体投标。</w:t>
            </w: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7" w:type="dxa"/>
            <w:noWrap/>
            <w:vAlign w:val="center"/>
          </w:tcPr>
          <w:p>
            <w:pPr>
              <w:tabs>
                <w:tab w:val="left" w:pos="720"/>
              </w:tabs>
              <w:snapToGrid w:val="0"/>
              <w:jc w:val="center"/>
              <w:rPr>
                <w:rFonts w:ascii="宋体" w:hAnsi="宋体"/>
                <w:sz w:val="24"/>
                <w:szCs w:val="24"/>
              </w:rPr>
            </w:pPr>
            <w:r>
              <w:rPr>
                <w:rFonts w:hint="eastAsia" w:ascii="宋体" w:hAnsi="宋体"/>
                <w:sz w:val="24"/>
                <w:szCs w:val="24"/>
              </w:rPr>
              <w:t>结论</w:t>
            </w:r>
          </w:p>
        </w:tc>
        <w:tc>
          <w:tcPr>
            <w:tcW w:w="6803" w:type="dxa"/>
            <w:noWrap/>
            <w:vAlign w:val="center"/>
          </w:tcPr>
          <w:p>
            <w:pPr>
              <w:tabs>
                <w:tab w:val="left" w:pos="720"/>
              </w:tabs>
              <w:snapToGrid w:val="0"/>
              <w:rPr>
                <w:rFonts w:ascii="宋体" w:hAnsi="宋体"/>
                <w:sz w:val="24"/>
                <w:szCs w:val="24"/>
              </w:rPr>
            </w:pPr>
            <w:r>
              <w:rPr>
                <w:rFonts w:hint="eastAsia" w:ascii="宋体" w:hAnsi="宋体"/>
                <w:sz w:val="24"/>
                <w:szCs w:val="24"/>
              </w:rPr>
              <w:t>是否通过并进入下一阶段评审</w:t>
            </w: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c>
          <w:tcPr>
            <w:tcW w:w="1304" w:type="dxa"/>
            <w:noWrap/>
            <w:vAlign w:val="center"/>
          </w:tcPr>
          <w:p>
            <w:pPr>
              <w:tabs>
                <w:tab w:val="left" w:pos="720"/>
              </w:tabs>
              <w:snapToGrid w:val="0"/>
              <w:jc w:val="center"/>
              <w:rPr>
                <w:rFonts w:ascii="宋体" w:hAnsi="宋体"/>
                <w:sz w:val="24"/>
                <w:szCs w:val="24"/>
              </w:rPr>
            </w:pPr>
          </w:p>
        </w:tc>
      </w:tr>
    </w:tbl>
    <w:p>
      <w:pPr>
        <w:tabs>
          <w:tab w:val="left" w:pos="720"/>
        </w:tabs>
        <w:snapToGrid w:val="0"/>
        <w:spacing w:before="78" w:beforeLines="25" w:after="78" w:afterLines="25" w:line="460" w:lineRule="exact"/>
        <w:rPr>
          <w:rFonts w:ascii="宋体" w:hAnsi="宋体"/>
          <w:sz w:val="24"/>
          <w:szCs w:val="24"/>
        </w:rPr>
      </w:pPr>
      <w:r>
        <w:rPr>
          <w:rFonts w:hint="eastAsia" w:ascii="宋体" w:hAnsi="宋体"/>
          <w:sz w:val="24"/>
          <w:szCs w:val="24"/>
        </w:rPr>
        <w:t>项目名称：新中轴线经营性项目2023年度监理项目</w:t>
      </w:r>
    </w:p>
    <w:p>
      <w:pPr>
        <w:tabs>
          <w:tab w:val="left" w:pos="720"/>
        </w:tabs>
        <w:snapToGrid w:val="0"/>
        <w:rPr>
          <w:rFonts w:ascii="宋体" w:hAnsi="宋体"/>
          <w:szCs w:val="21"/>
        </w:rPr>
      </w:pPr>
      <w:r>
        <w:rPr>
          <w:rFonts w:hint="eastAsia" w:ascii="宋体" w:hAnsi="宋体"/>
          <w:szCs w:val="21"/>
        </w:rPr>
        <w:t>备注：1、“是否通过并进入下一阶段评审”一栏应写“通过”“不通过”。</w:t>
      </w:r>
    </w:p>
    <w:p>
      <w:pPr>
        <w:tabs>
          <w:tab w:val="left" w:pos="720"/>
        </w:tabs>
        <w:snapToGrid w:val="0"/>
        <w:ind w:firstLine="630" w:firstLineChars="300"/>
        <w:rPr>
          <w:rFonts w:ascii="宋体" w:hAnsi="宋体"/>
          <w:bCs/>
          <w:szCs w:val="21"/>
        </w:rPr>
      </w:pPr>
      <w:r>
        <w:rPr>
          <w:rFonts w:hint="eastAsia" w:ascii="宋体" w:hAnsi="宋体"/>
          <w:bCs/>
          <w:szCs w:val="21"/>
        </w:rPr>
        <w:t>2、符合要求的打“○”，不符合的打“×”。</w:t>
      </w:r>
    </w:p>
    <w:p>
      <w:pPr>
        <w:tabs>
          <w:tab w:val="left" w:pos="720"/>
        </w:tabs>
        <w:snapToGrid w:val="0"/>
        <w:ind w:firstLine="630" w:firstLineChars="300"/>
        <w:rPr>
          <w:rFonts w:ascii="宋体" w:hAnsi="宋体"/>
          <w:bCs/>
          <w:szCs w:val="21"/>
        </w:rPr>
      </w:pPr>
      <w:r>
        <w:rPr>
          <w:rFonts w:hint="eastAsia" w:ascii="宋体" w:hAnsi="宋体"/>
          <w:bCs/>
          <w:szCs w:val="21"/>
        </w:rPr>
        <w:t>3、经评选委员会审核后，出现一个“×”的结论为“不通过”，即按废标处理。</w:t>
      </w:r>
    </w:p>
    <w:p>
      <w:pPr>
        <w:tabs>
          <w:tab w:val="left" w:pos="720"/>
        </w:tabs>
        <w:snapToGrid w:val="0"/>
        <w:ind w:firstLine="630" w:firstLineChars="300"/>
        <w:rPr>
          <w:rFonts w:ascii="宋体" w:hAnsi="宋体"/>
          <w:szCs w:val="21"/>
        </w:rPr>
      </w:pPr>
      <w:r>
        <w:rPr>
          <w:rFonts w:hint="eastAsia" w:ascii="宋体" w:hAnsi="宋体"/>
          <w:bCs/>
          <w:szCs w:val="21"/>
        </w:rPr>
        <w:t>4、表中全部条件满足为“通过”，同意进入下一阶段评</w:t>
      </w:r>
      <w:r>
        <w:rPr>
          <w:rFonts w:hint="eastAsia" w:ascii="宋体" w:hAnsi="宋体"/>
          <w:szCs w:val="21"/>
        </w:rPr>
        <w:t>审。</w:t>
      </w:r>
    </w:p>
    <w:p>
      <w:pPr>
        <w:tabs>
          <w:tab w:val="left" w:pos="840"/>
        </w:tabs>
        <w:snapToGrid w:val="0"/>
        <w:ind w:left="840" w:leftChars="300" w:hanging="210" w:hangingChars="100"/>
        <w:rPr>
          <w:rFonts w:ascii="宋体" w:hAnsi="宋体"/>
          <w:szCs w:val="21"/>
        </w:rPr>
      </w:pPr>
      <w:r>
        <w:rPr>
          <w:rFonts w:hint="eastAsia" w:ascii="宋体" w:hAnsi="宋体"/>
          <w:szCs w:val="21"/>
        </w:rPr>
        <w:t>5、若评委意见不一致时，则按少数服从多数的原则，决定该投标人是否通过符合性审查，进入下一阶段评审。</w:t>
      </w:r>
    </w:p>
    <w:p>
      <w:pPr>
        <w:tabs>
          <w:tab w:val="left" w:pos="720"/>
        </w:tabs>
        <w:snapToGrid w:val="0"/>
        <w:ind w:firstLine="3780" w:firstLineChars="1800"/>
        <w:jc w:val="left"/>
        <w:rPr>
          <w:rFonts w:ascii="宋体" w:hAnsi="宋体"/>
          <w:szCs w:val="21"/>
        </w:rPr>
      </w:pPr>
      <w:r>
        <w:rPr>
          <w:rFonts w:hint="eastAsia" w:ascii="宋体" w:hAnsi="宋体"/>
          <w:szCs w:val="21"/>
        </w:rPr>
        <w:t>评委签名：                     日期：</w:t>
      </w:r>
    </w:p>
    <w:p>
      <w:pPr>
        <w:pStyle w:val="41"/>
        <w:spacing w:line="480" w:lineRule="auto"/>
        <w:ind w:firstLine="0" w:firstLineChars="0"/>
        <w:rPr>
          <w:rFonts w:ascii="宋体" w:hAnsi="宋体"/>
          <w:position w:val="12"/>
          <w:sz w:val="24"/>
        </w:rPr>
      </w:pPr>
      <w:r>
        <w:rPr>
          <w:rFonts w:hint="eastAsia" w:ascii="宋体" w:hAnsi="宋体"/>
          <w:sz w:val="24"/>
        </w:rPr>
        <w:br w:type="page"/>
      </w:r>
      <w:r>
        <w:rPr>
          <w:rFonts w:hint="eastAsia" w:ascii="宋体" w:hAnsi="宋体"/>
          <w:sz w:val="24"/>
        </w:rPr>
        <w:t>三、若出现《符合性审查表》中所述情况，作废标处理。</w:t>
      </w:r>
    </w:p>
    <w:p>
      <w:pPr>
        <w:tabs>
          <w:tab w:val="left" w:pos="720"/>
        </w:tabs>
        <w:snapToGrid w:val="0"/>
        <w:spacing w:line="460" w:lineRule="exact"/>
        <w:jc w:val="center"/>
        <w:rPr>
          <w:rFonts w:ascii="宋体" w:hAnsi="宋体"/>
          <w:b/>
          <w:spacing w:val="20"/>
          <w:sz w:val="28"/>
          <w:szCs w:val="28"/>
        </w:rPr>
      </w:pPr>
      <w:r>
        <w:rPr>
          <w:rFonts w:hint="eastAsia" w:ascii="宋体" w:hAnsi="宋体"/>
          <w:b/>
          <w:spacing w:val="20"/>
          <w:sz w:val="28"/>
          <w:szCs w:val="28"/>
        </w:rPr>
        <w:t>符合性审查表</w:t>
      </w:r>
    </w:p>
    <w:tbl>
      <w:tblPr>
        <w:tblStyle w:val="42"/>
        <w:tblpPr w:leftFromText="180" w:rightFromText="180" w:vertAnchor="text" w:horzAnchor="margin" w:tblpXSpec="center" w:tblpY="63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6803"/>
        <w:gridCol w:w="1417"/>
        <w:gridCol w:w="1417"/>
        <w:gridCol w:w="1417"/>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7" w:type="dxa"/>
            <w:noWrap/>
            <w:vAlign w:val="center"/>
          </w:tcPr>
          <w:p>
            <w:pPr>
              <w:tabs>
                <w:tab w:val="left" w:pos="720"/>
              </w:tabs>
              <w:snapToGrid w:val="0"/>
              <w:jc w:val="center"/>
              <w:rPr>
                <w:rFonts w:ascii="宋体" w:hAnsi="宋体"/>
                <w:sz w:val="24"/>
                <w:szCs w:val="24"/>
              </w:rPr>
            </w:pPr>
            <w:r>
              <w:rPr>
                <w:rFonts w:hint="eastAsia" w:ascii="宋体" w:hAnsi="宋体"/>
                <w:sz w:val="24"/>
                <w:szCs w:val="24"/>
              </w:rPr>
              <w:t>编号</w:t>
            </w:r>
          </w:p>
        </w:tc>
        <w:tc>
          <w:tcPr>
            <w:tcW w:w="6803" w:type="dxa"/>
            <w:tcBorders>
              <w:tl2br w:val="single" w:color="auto" w:sz="4" w:space="0"/>
            </w:tcBorders>
            <w:noWrap/>
            <w:vAlign w:val="center"/>
          </w:tcPr>
          <w:p>
            <w:pPr>
              <w:tabs>
                <w:tab w:val="left" w:pos="720"/>
              </w:tabs>
              <w:snapToGrid w:val="0"/>
              <w:ind w:firstLine="960" w:firstLineChars="400"/>
              <w:jc w:val="right"/>
              <w:rPr>
                <w:rFonts w:ascii="宋体" w:hAnsi="宋体"/>
                <w:sz w:val="24"/>
                <w:szCs w:val="24"/>
              </w:rPr>
            </w:pPr>
            <w:r>
              <w:rPr>
                <w:rFonts w:hint="eastAsia" w:ascii="宋体" w:hAnsi="宋体"/>
                <w:sz w:val="24"/>
                <w:szCs w:val="24"/>
              </w:rPr>
              <w:t>投标人名称</w:t>
            </w:r>
          </w:p>
          <w:p>
            <w:pPr>
              <w:tabs>
                <w:tab w:val="left" w:pos="720"/>
              </w:tabs>
              <w:snapToGrid w:val="0"/>
              <w:rPr>
                <w:rFonts w:ascii="宋体" w:hAnsi="宋体"/>
                <w:sz w:val="24"/>
                <w:szCs w:val="24"/>
              </w:rPr>
            </w:pPr>
          </w:p>
          <w:p>
            <w:pPr>
              <w:tabs>
                <w:tab w:val="left" w:pos="720"/>
              </w:tabs>
              <w:snapToGrid w:val="0"/>
              <w:rPr>
                <w:rFonts w:ascii="宋体" w:hAnsi="宋体"/>
                <w:sz w:val="24"/>
                <w:szCs w:val="24"/>
              </w:rPr>
            </w:pPr>
            <w:r>
              <w:rPr>
                <w:rFonts w:hint="eastAsia" w:ascii="宋体" w:hAnsi="宋体"/>
                <w:sz w:val="24"/>
                <w:szCs w:val="24"/>
              </w:rPr>
              <w:t>审查项目</w:t>
            </w:r>
          </w:p>
        </w:tc>
        <w:tc>
          <w:tcPr>
            <w:tcW w:w="1417" w:type="dxa"/>
            <w:noWrap/>
            <w:vAlign w:val="center"/>
          </w:tcPr>
          <w:p>
            <w:pPr>
              <w:tabs>
                <w:tab w:val="left" w:pos="720"/>
              </w:tabs>
              <w:snapToGrid w:val="0"/>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7" w:type="dxa"/>
            <w:noWrap/>
            <w:vAlign w:val="center"/>
          </w:tcPr>
          <w:p>
            <w:pPr>
              <w:tabs>
                <w:tab w:val="left" w:pos="720"/>
              </w:tabs>
              <w:snapToGrid w:val="0"/>
              <w:jc w:val="center"/>
              <w:rPr>
                <w:rFonts w:ascii="宋体" w:hAnsi="宋体"/>
                <w:sz w:val="24"/>
                <w:szCs w:val="24"/>
              </w:rPr>
            </w:pPr>
            <w:r>
              <w:rPr>
                <w:rFonts w:hint="eastAsia" w:ascii="宋体" w:hAnsi="宋体"/>
                <w:sz w:val="24"/>
                <w:szCs w:val="24"/>
              </w:rPr>
              <w:t>1</w:t>
            </w:r>
          </w:p>
        </w:tc>
        <w:tc>
          <w:tcPr>
            <w:tcW w:w="6803" w:type="dxa"/>
            <w:noWrap/>
            <w:vAlign w:val="center"/>
          </w:tcPr>
          <w:p>
            <w:pPr>
              <w:tabs>
                <w:tab w:val="left" w:pos="720"/>
              </w:tabs>
              <w:snapToGrid w:val="0"/>
              <w:rPr>
                <w:rFonts w:ascii="宋体" w:hAnsi="宋体"/>
                <w:sz w:val="24"/>
                <w:szCs w:val="24"/>
              </w:rPr>
            </w:pPr>
            <w:r>
              <w:rPr>
                <w:rFonts w:hint="eastAsia" w:ascii="宋体" w:hAnsi="宋体"/>
                <w:sz w:val="24"/>
                <w:szCs w:val="24"/>
              </w:rPr>
              <w:t>投标文件所列投标人名称、项目（总监）负责人与投标登记时不一致；</w:t>
            </w: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7" w:type="dxa"/>
            <w:noWrap/>
            <w:vAlign w:val="center"/>
          </w:tcPr>
          <w:p>
            <w:pPr>
              <w:tabs>
                <w:tab w:val="left" w:pos="720"/>
              </w:tabs>
              <w:snapToGrid w:val="0"/>
              <w:jc w:val="center"/>
              <w:rPr>
                <w:rFonts w:ascii="宋体" w:hAnsi="宋体"/>
                <w:sz w:val="24"/>
                <w:szCs w:val="24"/>
              </w:rPr>
            </w:pPr>
            <w:r>
              <w:rPr>
                <w:rFonts w:hint="eastAsia" w:ascii="宋体" w:hAnsi="宋体"/>
                <w:sz w:val="24"/>
                <w:szCs w:val="24"/>
              </w:rPr>
              <w:t>2</w:t>
            </w:r>
          </w:p>
        </w:tc>
        <w:tc>
          <w:tcPr>
            <w:tcW w:w="6803" w:type="dxa"/>
            <w:noWrap/>
            <w:vAlign w:val="center"/>
          </w:tcPr>
          <w:p>
            <w:pPr>
              <w:tabs>
                <w:tab w:val="left" w:pos="720"/>
              </w:tabs>
              <w:snapToGrid w:val="0"/>
              <w:rPr>
                <w:rFonts w:ascii="宋体" w:hAnsi="宋体"/>
                <w:sz w:val="24"/>
                <w:szCs w:val="24"/>
              </w:rPr>
            </w:pPr>
            <w:r>
              <w:rPr>
                <w:rFonts w:hint="eastAsia" w:ascii="宋体" w:hAnsi="宋体"/>
                <w:sz w:val="24"/>
                <w:szCs w:val="24"/>
              </w:rPr>
              <w:t>投标文件中没有有效的法定代表人证明书原件，或由委托代理人签署的投标文件中没有法定代表人授权书原件；</w:t>
            </w: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7" w:type="dxa"/>
            <w:noWrap/>
            <w:vAlign w:val="center"/>
          </w:tcPr>
          <w:p>
            <w:pPr>
              <w:tabs>
                <w:tab w:val="left" w:pos="720"/>
              </w:tabs>
              <w:snapToGrid w:val="0"/>
              <w:jc w:val="center"/>
              <w:rPr>
                <w:rFonts w:ascii="宋体" w:hAnsi="宋体"/>
                <w:sz w:val="24"/>
                <w:szCs w:val="24"/>
              </w:rPr>
            </w:pPr>
            <w:r>
              <w:rPr>
                <w:rFonts w:hint="eastAsia" w:ascii="宋体" w:hAnsi="宋体"/>
                <w:sz w:val="24"/>
                <w:szCs w:val="24"/>
              </w:rPr>
              <w:t>3</w:t>
            </w:r>
          </w:p>
        </w:tc>
        <w:tc>
          <w:tcPr>
            <w:tcW w:w="6803" w:type="dxa"/>
            <w:noWrap/>
            <w:vAlign w:val="center"/>
          </w:tcPr>
          <w:p>
            <w:pPr>
              <w:tabs>
                <w:tab w:val="left" w:pos="720"/>
              </w:tabs>
              <w:snapToGrid w:val="0"/>
              <w:rPr>
                <w:rFonts w:ascii="宋体" w:hAnsi="宋体"/>
                <w:sz w:val="24"/>
                <w:szCs w:val="24"/>
              </w:rPr>
            </w:pPr>
            <w:r>
              <w:rPr>
                <w:rFonts w:hint="eastAsia" w:ascii="宋体" w:hAnsi="宋体"/>
                <w:sz w:val="24"/>
                <w:szCs w:val="24"/>
              </w:rPr>
              <w:t>投标文件的封面没有加盖投标单位的法定印章；</w:t>
            </w: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7" w:type="dxa"/>
            <w:noWrap/>
            <w:vAlign w:val="center"/>
          </w:tcPr>
          <w:p>
            <w:pPr>
              <w:tabs>
                <w:tab w:val="left" w:pos="720"/>
              </w:tabs>
              <w:snapToGrid w:val="0"/>
              <w:jc w:val="center"/>
              <w:rPr>
                <w:rFonts w:ascii="宋体" w:hAnsi="宋体"/>
                <w:sz w:val="24"/>
                <w:szCs w:val="24"/>
              </w:rPr>
            </w:pPr>
            <w:r>
              <w:rPr>
                <w:rFonts w:hint="eastAsia" w:ascii="宋体" w:hAnsi="宋体"/>
                <w:sz w:val="24"/>
                <w:szCs w:val="24"/>
              </w:rPr>
              <w:t>4</w:t>
            </w:r>
          </w:p>
        </w:tc>
        <w:tc>
          <w:tcPr>
            <w:tcW w:w="6803" w:type="dxa"/>
            <w:noWrap/>
            <w:vAlign w:val="center"/>
          </w:tcPr>
          <w:p>
            <w:pPr>
              <w:tabs>
                <w:tab w:val="left" w:pos="720"/>
              </w:tabs>
              <w:snapToGrid w:val="0"/>
              <w:rPr>
                <w:rFonts w:ascii="宋体" w:hAnsi="宋体"/>
                <w:sz w:val="24"/>
                <w:szCs w:val="24"/>
              </w:rPr>
            </w:pPr>
            <w:r>
              <w:rPr>
                <w:rFonts w:hint="eastAsia" w:ascii="宋体" w:hAnsi="宋体"/>
                <w:sz w:val="24"/>
                <w:szCs w:val="24"/>
              </w:rPr>
              <w:t>投标文件未按规定的格式填写，内容不全（指投标文件组成内容）或关键字迹模糊、无法辩认的；</w:t>
            </w: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7" w:type="dxa"/>
            <w:noWrap/>
            <w:vAlign w:val="center"/>
          </w:tcPr>
          <w:p>
            <w:pPr>
              <w:tabs>
                <w:tab w:val="left" w:pos="720"/>
              </w:tabs>
              <w:snapToGrid w:val="0"/>
              <w:jc w:val="center"/>
              <w:rPr>
                <w:rFonts w:ascii="宋体" w:hAnsi="宋体"/>
                <w:sz w:val="24"/>
                <w:szCs w:val="24"/>
              </w:rPr>
            </w:pPr>
            <w:r>
              <w:rPr>
                <w:rFonts w:hint="eastAsia" w:ascii="宋体" w:hAnsi="宋体"/>
                <w:sz w:val="24"/>
                <w:szCs w:val="24"/>
              </w:rPr>
              <w:t>5</w:t>
            </w:r>
          </w:p>
        </w:tc>
        <w:tc>
          <w:tcPr>
            <w:tcW w:w="6803" w:type="dxa"/>
            <w:noWrap/>
            <w:vAlign w:val="center"/>
          </w:tcPr>
          <w:p>
            <w:pPr>
              <w:tabs>
                <w:tab w:val="left" w:pos="720"/>
              </w:tabs>
              <w:snapToGrid w:val="0"/>
              <w:rPr>
                <w:rFonts w:ascii="宋体" w:hAnsi="宋体"/>
                <w:sz w:val="24"/>
                <w:szCs w:val="24"/>
              </w:rPr>
            </w:pPr>
            <w:r>
              <w:rPr>
                <w:rFonts w:hint="eastAsia" w:ascii="宋体" w:hAnsi="宋体"/>
                <w:sz w:val="24"/>
                <w:szCs w:val="24"/>
              </w:rPr>
              <w:t>对同一招选项目出现两个或以上的投标报价，且修正无依据的；</w:t>
            </w: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7" w:type="dxa"/>
            <w:noWrap/>
            <w:vAlign w:val="center"/>
          </w:tcPr>
          <w:p>
            <w:pPr>
              <w:tabs>
                <w:tab w:val="left" w:pos="720"/>
              </w:tabs>
              <w:snapToGrid w:val="0"/>
              <w:jc w:val="center"/>
              <w:rPr>
                <w:rFonts w:ascii="宋体" w:hAnsi="宋体"/>
                <w:sz w:val="24"/>
                <w:szCs w:val="24"/>
              </w:rPr>
            </w:pPr>
            <w:r>
              <w:rPr>
                <w:rFonts w:hint="eastAsia" w:ascii="宋体" w:hAnsi="宋体"/>
                <w:sz w:val="24"/>
                <w:szCs w:val="24"/>
              </w:rPr>
              <w:t>6</w:t>
            </w:r>
          </w:p>
        </w:tc>
        <w:tc>
          <w:tcPr>
            <w:tcW w:w="6803" w:type="dxa"/>
            <w:noWrap/>
            <w:vAlign w:val="center"/>
          </w:tcPr>
          <w:p>
            <w:pPr>
              <w:tabs>
                <w:tab w:val="left" w:pos="720"/>
              </w:tabs>
              <w:snapToGrid w:val="0"/>
              <w:rPr>
                <w:rFonts w:ascii="宋体" w:hAnsi="宋体"/>
                <w:sz w:val="24"/>
                <w:szCs w:val="24"/>
              </w:rPr>
            </w:pPr>
            <w:r>
              <w:rPr>
                <w:rFonts w:hint="eastAsia" w:ascii="宋体" w:hAnsi="宋体"/>
                <w:sz w:val="24"/>
                <w:szCs w:val="24"/>
              </w:rPr>
              <w:t>投标报价未按招选文件所确定的最高</w:t>
            </w:r>
            <w:r>
              <w:rPr>
                <w:rFonts w:ascii="宋体" w:hAnsi="宋体"/>
                <w:sz w:val="24"/>
                <w:szCs w:val="24"/>
              </w:rPr>
              <w:t>限价</w:t>
            </w:r>
            <w:r>
              <w:rPr>
                <w:rFonts w:hint="eastAsia" w:ascii="宋体" w:hAnsi="宋体"/>
                <w:sz w:val="24"/>
                <w:szCs w:val="24"/>
              </w:rPr>
              <w:t>。</w:t>
            </w: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7" w:type="dxa"/>
            <w:noWrap/>
            <w:vAlign w:val="center"/>
          </w:tcPr>
          <w:p>
            <w:pPr>
              <w:tabs>
                <w:tab w:val="left" w:pos="720"/>
              </w:tabs>
              <w:snapToGrid w:val="0"/>
              <w:jc w:val="center"/>
              <w:rPr>
                <w:rFonts w:ascii="宋体" w:hAnsi="宋体"/>
                <w:sz w:val="24"/>
                <w:szCs w:val="24"/>
              </w:rPr>
            </w:pPr>
            <w:r>
              <w:rPr>
                <w:rFonts w:hint="eastAsia" w:ascii="宋体" w:hAnsi="宋体"/>
                <w:sz w:val="24"/>
                <w:szCs w:val="24"/>
              </w:rPr>
              <w:t>7</w:t>
            </w:r>
          </w:p>
        </w:tc>
        <w:tc>
          <w:tcPr>
            <w:tcW w:w="6803" w:type="dxa"/>
            <w:noWrap/>
            <w:vAlign w:val="center"/>
          </w:tcPr>
          <w:p>
            <w:pPr>
              <w:tabs>
                <w:tab w:val="left" w:pos="720"/>
              </w:tabs>
              <w:snapToGrid w:val="0"/>
              <w:rPr>
                <w:rFonts w:ascii="宋体" w:hAnsi="宋体"/>
                <w:sz w:val="24"/>
                <w:szCs w:val="24"/>
              </w:rPr>
            </w:pPr>
            <w:r>
              <w:rPr>
                <w:rFonts w:hint="eastAsia" w:ascii="宋体" w:hAnsi="宋体"/>
                <w:sz w:val="24"/>
                <w:szCs w:val="24"/>
              </w:rPr>
              <w:t>存在串通投标情形（串通投标情形以《中华人民共和国招标投标法实施条例》规定为准）；</w:t>
            </w: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7" w:type="dxa"/>
            <w:noWrap/>
            <w:vAlign w:val="center"/>
          </w:tcPr>
          <w:p>
            <w:pPr>
              <w:tabs>
                <w:tab w:val="left" w:pos="720"/>
              </w:tabs>
              <w:snapToGrid w:val="0"/>
              <w:jc w:val="center"/>
              <w:rPr>
                <w:rFonts w:ascii="宋体" w:hAnsi="宋体"/>
                <w:sz w:val="24"/>
                <w:szCs w:val="24"/>
              </w:rPr>
            </w:pPr>
            <w:r>
              <w:rPr>
                <w:rFonts w:hint="eastAsia" w:ascii="宋体" w:hAnsi="宋体"/>
                <w:sz w:val="24"/>
                <w:szCs w:val="24"/>
              </w:rPr>
              <w:t>结论</w:t>
            </w:r>
          </w:p>
        </w:tc>
        <w:tc>
          <w:tcPr>
            <w:tcW w:w="6803" w:type="dxa"/>
            <w:noWrap/>
            <w:vAlign w:val="center"/>
          </w:tcPr>
          <w:p>
            <w:pPr>
              <w:tabs>
                <w:tab w:val="left" w:pos="720"/>
              </w:tabs>
              <w:snapToGrid w:val="0"/>
              <w:rPr>
                <w:rFonts w:ascii="宋体" w:hAnsi="宋体"/>
                <w:sz w:val="24"/>
                <w:szCs w:val="24"/>
              </w:rPr>
            </w:pPr>
            <w:r>
              <w:rPr>
                <w:rFonts w:hint="eastAsia" w:ascii="宋体" w:hAnsi="宋体"/>
                <w:sz w:val="24"/>
                <w:szCs w:val="24"/>
              </w:rPr>
              <w:t>是否通过并进入下一阶段评审</w:t>
            </w: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c>
          <w:tcPr>
            <w:tcW w:w="1417" w:type="dxa"/>
            <w:noWrap/>
            <w:vAlign w:val="center"/>
          </w:tcPr>
          <w:p>
            <w:pPr>
              <w:tabs>
                <w:tab w:val="left" w:pos="720"/>
              </w:tabs>
              <w:snapToGrid w:val="0"/>
              <w:jc w:val="center"/>
              <w:rPr>
                <w:rFonts w:ascii="宋体" w:hAnsi="宋体"/>
                <w:sz w:val="24"/>
                <w:szCs w:val="24"/>
              </w:rPr>
            </w:pPr>
          </w:p>
        </w:tc>
      </w:tr>
    </w:tbl>
    <w:p>
      <w:pPr>
        <w:tabs>
          <w:tab w:val="left" w:pos="720"/>
        </w:tabs>
        <w:snapToGrid w:val="0"/>
        <w:spacing w:before="78" w:beforeLines="25" w:after="78" w:afterLines="25" w:line="460" w:lineRule="exact"/>
        <w:rPr>
          <w:rFonts w:ascii="宋体" w:hAnsi="宋体"/>
          <w:sz w:val="24"/>
        </w:rPr>
      </w:pPr>
      <w:r>
        <w:rPr>
          <w:rFonts w:hint="eastAsia" w:ascii="宋体" w:hAnsi="宋体"/>
          <w:sz w:val="24"/>
        </w:rPr>
        <w:t>项目名称：新中轴线经营性项目2023年度监理项目</w:t>
      </w:r>
    </w:p>
    <w:p>
      <w:pPr>
        <w:tabs>
          <w:tab w:val="left" w:pos="720"/>
        </w:tabs>
        <w:snapToGrid w:val="0"/>
        <w:rPr>
          <w:rFonts w:ascii="宋体" w:hAnsi="宋体"/>
          <w:szCs w:val="21"/>
        </w:rPr>
      </w:pPr>
      <w:r>
        <w:rPr>
          <w:rFonts w:hint="eastAsia" w:ascii="宋体" w:hAnsi="宋体"/>
          <w:szCs w:val="21"/>
        </w:rPr>
        <w:t>备注：1、“是否通过并进入下一阶段评审”一栏应写“通过”“不通过”。</w:t>
      </w:r>
    </w:p>
    <w:p>
      <w:pPr>
        <w:tabs>
          <w:tab w:val="left" w:pos="720"/>
        </w:tabs>
        <w:snapToGrid w:val="0"/>
        <w:ind w:firstLine="630" w:firstLineChars="300"/>
        <w:rPr>
          <w:rFonts w:ascii="宋体" w:hAnsi="宋体"/>
          <w:szCs w:val="21"/>
        </w:rPr>
      </w:pPr>
      <w:r>
        <w:rPr>
          <w:rFonts w:hint="eastAsia" w:ascii="宋体" w:hAnsi="宋体"/>
          <w:szCs w:val="21"/>
        </w:rPr>
        <w:t>2、未出现上述情况的打“○”，出现的打“×”。</w:t>
      </w:r>
    </w:p>
    <w:p>
      <w:pPr>
        <w:tabs>
          <w:tab w:val="left" w:pos="720"/>
        </w:tabs>
        <w:snapToGrid w:val="0"/>
        <w:ind w:firstLine="630" w:firstLineChars="300"/>
        <w:rPr>
          <w:rFonts w:ascii="宋体" w:hAnsi="宋体"/>
          <w:szCs w:val="21"/>
        </w:rPr>
      </w:pPr>
      <w:r>
        <w:rPr>
          <w:rFonts w:hint="eastAsia" w:ascii="宋体" w:hAnsi="宋体"/>
          <w:szCs w:val="21"/>
        </w:rPr>
        <w:t>3、经评选委员会审核后，出现一个“×”的结论为“不通过”，即按废标处理。</w:t>
      </w:r>
    </w:p>
    <w:p>
      <w:pPr>
        <w:tabs>
          <w:tab w:val="left" w:pos="720"/>
        </w:tabs>
        <w:snapToGrid w:val="0"/>
        <w:ind w:firstLine="630" w:firstLineChars="300"/>
        <w:rPr>
          <w:rFonts w:ascii="宋体" w:hAnsi="宋体"/>
          <w:szCs w:val="21"/>
        </w:rPr>
      </w:pPr>
      <w:r>
        <w:rPr>
          <w:rFonts w:hint="eastAsia" w:ascii="宋体" w:hAnsi="宋体"/>
          <w:szCs w:val="21"/>
        </w:rPr>
        <w:t>4、表中全部条件满足为“通过”，同意进入下一阶段评审。</w:t>
      </w:r>
    </w:p>
    <w:p>
      <w:pPr>
        <w:tabs>
          <w:tab w:val="left" w:pos="720"/>
        </w:tabs>
        <w:snapToGrid w:val="0"/>
        <w:ind w:left="945" w:leftChars="300" w:hanging="315" w:hangingChars="150"/>
        <w:rPr>
          <w:rFonts w:ascii="宋体" w:hAnsi="宋体"/>
          <w:szCs w:val="21"/>
        </w:rPr>
      </w:pPr>
      <w:r>
        <w:rPr>
          <w:rFonts w:hint="eastAsia" w:ascii="宋体" w:hAnsi="宋体"/>
          <w:szCs w:val="21"/>
        </w:rPr>
        <w:t>5、若评委意见不一致时，则按少数服从多数的原则，决定该投标人是否通过符合性审查，进入下一阶段评审。</w:t>
      </w:r>
    </w:p>
    <w:p>
      <w:pPr>
        <w:tabs>
          <w:tab w:val="left" w:pos="720"/>
        </w:tabs>
        <w:snapToGrid w:val="0"/>
        <w:rPr>
          <w:rFonts w:ascii="宋体" w:hAnsi="宋体"/>
          <w:sz w:val="18"/>
          <w:szCs w:val="18"/>
        </w:rPr>
      </w:pPr>
    </w:p>
    <w:p>
      <w:pPr>
        <w:tabs>
          <w:tab w:val="left" w:pos="720"/>
        </w:tabs>
        <w:snapToGrid w:val="0"/>
        <w:ind w:firstLine="3780" w:firstLineChars="1800"/>
        <w:jc w:val="left"/>
        <w:rPr>
          <w:rFonts w:ascii="宋体" w:hAnsi="宋体"/>
          <w:szCs w:val="21"/>
        </w:rPr>
      </w:pPr>
      <w:r>
        <w:rPr>
          <w:rFonts w:hint="eastAsia" w:ascii="宋体" w:hAnsi="宋体"/>
          <w:szCs w:val="21"/>
        </w:rPr>
        <w:t>评委签名：                     日期：</w:t>
      </w:r>
    </w:p>
    <w:p>
      <w:pPr>
        <w:rPr>
          <w:rFonts w:ascii="宋体" w:hAnsi="宋体"/>
          <w:position w:val="12"/>
          <w:sz w:val="24"/>
          <w:szCs w:val="24"/>
        </w:rPr>
        <w:sectPr>
          <w:pgSz w:w="16838" w:h="11906" w:orient="landscape"/>
          <w:pgMar w:top="720" w:right="720" w:bottom="720" w:left="720" w:header="851" w:footer="992" w:gutter="0"/>
          <w:cols w:space="720" w:num="1"/>
          <w:docGrid w:type="lines" w:linePitch="312" w:charSpace="0"/>
        </w:sectPr>
      </w:pPr>
      <w:bookmarkStart w:id="117" w:name="_Toc327874829"/>
    </w:p>
    <w:p>
      <w:pPr>
        <w:pStyle w:val="2"/>
      </w:pPr>
    </w:p>
    <w:p>
      <w:pPr>
        <w:rPr>
          <w:rFonts w:ascii="宋体" w:hAnsi="宋体"/>
          <w:position w:val="12"/>
          <w:sz w:val="24"/>
          <w:szCs w:val="24"/>
        </w:rPr>
      </w:pPr>
      <w:r>
        <w:rPr>
          <w:rFonts w:hint="eastAsia" w:ascii="宋体" w:hAnsi="宋体"/>
          <w:position w:val="12"/>
          <w:sz w:val="24"/>
          <w:szCs w:val="24"/>
        </w:rPr>
        <w:t xml:space="preserve">附件二： </w:t>
      </w:r>
    </w:p>
    <w:p>
      <w:pPr>
        <w:spacing w:after="156" w:afterLines="50" w:line="320" w:lineRule="exact"/>
        <w:jc w:val="center"/>
        <w:rPr>
          <w:b/>
          <w:sz w:val="28"/>
          <w:szCs w:val="28"/>
        </w:rPr>
      </w:pPr>
      <w:r>
        <w:rPr>
          <w:rFonts w:hint="eastAsia" w:ascii="宋体" w:hAnsi="宋体"/>
          <w:b/>
          <w:bCs/>
          <w:sz w:val="28"/>
          <w:szCs w:val="28"/>
        </w:rPr>
        <w:t xml:space="preserve">监 理 </w:t>
      </w:r>
      <w:r>
        <w:rPr>
          <w:rFonts w:hint="eastAsia"/>
          <w:b/>
          <w:sz w:val="28"/>
          <w:szCs w:val="28"/>
        </w:rPr>
        <w:t>综 合 评 分 表</w:t>
      </w:r>
    </w:p>
    <w:tbl>
      <w:tblPr>
        <w:tblStyle w:val="42"/>
        <w:tblW w:w="971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960"/>
        <w:gridCol w:w="1142"/>
        <w:gridCol w:w="2506"/>
        <w:gridCol w:w="51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4" w:hRule="atLeast"/>
          <w:jc w:val="center"/>
        </w:trPr>
        <w:tc>
          <w:tcPr>
            <w:tcW w:w="2102" w:type="dxa"/>
            <w:gridSpan w:val="2"/>
            <w:tcBorders>
              <w:top w:val="single" w:color="auto" w:sz="4" w:space="0"/>
              <w:bottom w:val="single" w:color="auto" w:sz="4" w:space="0"/>
              <w:right w:val="single" w:color="auto" w:sz="4" w:space="0"/>
            </w:tcBorders>
            <w:vAlign w:val="center"/>
          </w:tcPr>
          <w:p>
            <w:pPr>
              <w:adjustRightInd w:val="0"/>
              <w:snapToGrid w:val="0"/>
              <w:spacing w:before="46" w:beforeLines="15" w:after="46" w:afterLines="15"/>
              <w:ind w:left="42" w:leftChars="20" w:right="42" w:rightChars="20"/>
              <w:jc w:val="center"/>
              <w:rPr>
                <w:rFonts w:ascii="宋体" w:hAnsi="宋体"/>
                <w:b/>
                <w:sz w:val="24"/>
                <w:szCs w:val="24"/>
              </w:rPr>
            </w:pPr>
            <w:r>
              <w:rPr>
                <w:rFonts w:hint="eastAsia" w:ascii="宋体" w:hAnsi="宋体"/>
                <w:b/>
                <w:sz w:val="24"/>
                <w:szCs w:val="24"/>
              </w:rPr>
              <w:t>条款号</w:t>
            </w:r>
          </w:p>
        </w:tc>
        <w:tc>
          <w:tcPr>
            <w:tcW w:w="25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46" w:beforeLines="15" w:after="46" w:afterLines="15"/>
              <w:ind w:left="42" w:leftChars="20" w:right="42" w:rightChars="20"/>
              <w:jc w:val="center"/>
              <w:rPr>
                <w:rFonts w:ascii="宋体" w:hAnsi="宋体"/>
                <w:b/>
                <w:sz w:val="24"/>
                <w:szCs w:val="24"/>
              </w:rPr>
            </w:pPr>
            <w:r>
              <w:rPr>
                <w:rFonts w:hint="eastAsia" w:ascii="宋体" w:hAnsi="宋体"/>
                <w:b/>
                <w:sz w:val="24"/>
                <w:szCs w:val="24"/>
              </w:rPr>
              <w:t>条款内容</w:t>
            </w:r>
          </w:p>
        </w:tc>
        <w:tc>
          <w:tcPr>
            <w:tcW w:w="5103" w:type="dxa"/>
            <w:tcBorders>
              <w:top w:val="single" w:color="auto" w:sz="4" w:space="0"/>
              <w:left w:val="single" w:color="auto" w:sz="4" w:space="0"/>
              <w:bottom w:val="single" w:color="auto" w:sz="4" w:space="0"/>
            </w:tcBorders>
            <w:vAlign w:val="center"/>
          </w:tcPr>
          <w:p>
            <w:pPr>
              <w:adjustRightInd w:val="0"/>
              <w:snapToGrid w:val="0"/>
              <w:spacing w:before="46" w:beforeLines="15" w:after="46" w:afterLines="15"/>
              <w:ind w:left="42" w:leftChars="20" w:right="42" w:rightChars="20"/>
              <w:jc w:val="center"/>
              <w:rPr>
                <w:rFonts w:ascii="宋体" w:hAnsi="宋体"/>
                <w:b/>
                <w:sz w:val="24"/>
                <w:szCs w:val="24"/>
              </w:rPr>
            </w:pPr>
            <w:r>
              <w:rPr>
                <w:rFonts w:hint="eastAsia" w:ascii="宋体" w:hAnsi="宋体"/>
                <w:b/>
                <w:sz w:val="24"/>
                <w:szCs w:val="24"/>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831" w:hRule="atLeast"/>
          <w:jc w:val="center"/>
        </w:trPr>
        <w:tc>
          <w:tcPr>
            <w:tcW w:w="2102" w:type="dxa"/>
            <w:gridSpan w:val="2"/>
            <w:tcBorders>
              <w:bottom w:val="single" w:color="auto" w:sz="4" w:space="0"/>
              <w:right w:val="single" w:color="auto" w:sz="4" w:space="0"/>
            </w:tcBorders>
            <w:vAlign w:val="center"/>
          </w:tcPr>
          <w:p>
            <w:pPr>
              <w:adjustRightInd w:val="0"/>
              <w:snapToGrid w:val="0"/>
              <w:spacing w:before="46" w:beforeLines="15" w:after="46" w:afterLines="15"/>
              <w:ind w:left="42" w:leftChars="20" w:right="42" w:rightChars="20"/>
              <w:jc w:val="center"/>
              <w:rPr>
                <w:rFonts w:ascii="宋体" w:hAnsi="宋体"/>
                <w:sz w:val="24"/>
                <w:szCs w:val="24"/>
              </w:rPr>
            </w:pPr>
            <w:r>
              <w:rPr>
                <w:rFonts w:ascii="宋体" w:hAnsi="宋体"/>
                <w:sz w:val="24"/>
                <w:szCs w:val="24"/>
              </w:rPr>
              <w:t>1</w:t>
            </w:r>
          </w:p>
        </w:tc>
        <w:tc>
          <w:tcPr>
            <w:tcW w:w="25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46" w:beforeLines="15" w:after="46" w:afterLines="15"/>
              <w:ind w:left="42" w:leftChars="20" w:right="42" w:rightChars="20"/>
              <w:jc w:val="center"/>
              <w:rPr>
                <w:rFonts w:ascii="宋体" w:hAnsi="宋体"/>
                <w:sz w:val="24"/>
                <w:szCs w:val="24"/>
              </w:rPr>
            </w:pPr>
            <w:r>
              <w:rPr>
                <w:rFonts w:hint="eastAsia" w:ascii="宋体" w:hAnsi="宋体"/>
                <w:sz w:val="24"/>
                <w:szCs w:val="24"/>
              </w:rPr>
              <w:t>分值构成</w:t>
            </w:r>
          </w:p>
          <w:p>
            <w:pPr>
              <w:adjustRightInd w:val="0"/>
              <w:snapToGrid w:val="0"/>
              <w:spacing w:before="46" w:beforeLines="15" w:after="46" w:afterLines="15"/>
              <w:ind w:left="42" w:leftChars="20" w:right="42" w:rightChars="20"/>
              <w:jc w:val="center"/>
              <w:rPr>
                <w:rFonts w:ascii="宋体" w:hAnsi="宋体"/>
                <w:sz w:val="24"/>
                <w:szCs w:val="24"/>
              </w:rPr>
            </w:pPr>
            <w:r>
              <w:rPr>
                <w:rFonts w:ascii="宋体" w:hAnsi="宋体"/>
                <w:sz w:val="24"/>
                <w:szCs w:val="24"/>
              </w:rPr>
              <w:t>(</w:t>
            </w:r>
            <w:r>
              <w:rPr>
                <w:rFonts w:hint="eastAsia" w:ascii="宋体" w:hAnsi="宋体"/>
                <w:sz w:val="24"/>
                <w:szCs w:val="24"/>
              </w:rPr>
              <w:t>总分</w:t>
            </w:r>
            <w:r>
              <w:rPr>
                <w:rFonts w:ascii="宋体" w:hAnsi="宋体"/>
                <w:sz w:val="24"/>
                <w:szCs w:val="24"/>
              </w:rPr>
              <w:t>100</w:t>
            </w:r>
            <w:r>
              <w:rPr>
                <w:rFonts w:hint="eastAsia" w:ascii="宋体" w:hAnsi="宋体"/>
                <w:sz w:val="24"/>
                <w:szCs w:val="24"/>
              </w:rPr>
              <w:t>分</w:t>
            </w:r>
            <w:r>
              <w:rPr>
                <w:rFonts w:ascii="宋体" w:hAnsi="宋体"/>
                <w:sz w:val="24"/>
                <w:szCs w:val="24"/>
              </w:rPr>
              <w:t>)</w:t>
            </w:r>
          </w:p>
        </w:tc>
        <w:tc>
          <w:tcPr>
            <w:tcW w:w="5103" w:type="dxa"/>
            <w:tcBorders>
              <w:top w:val="single" w:color="auto" w:sz="4" w:space="0"/>
              <w:left w:val="single" w:color="auto" w:sz="4" w:space="0"/>
              <w:bottom w:val="single" w:color="auto" w:sz="4" w:space="0"/>
            </w:tcBorders>
            <w:vAlign w:val="center"/>
          </w:tcPr>
          <w:p>
            <w:pPr>
              <w:adjustRightInd w:val="0"/>
              <w:snapToGrid w:val="0"/>
              <w:spacing w:before="46" w:beforeLines="15" w:after="46" w:afterLines="15"/>
              <w:ind w:left="42" w:leftChars="20" w:right="42" w:rightChars="20"/>
              <w:rPr>
                <w:rFonts w:ascii="宋体" w:hAnsi="宋体"/>
                <w:sz w:val="24"/>
                <w:szCs w:val="24"/>
              </w:rPr>
            </w:pPr>
            <w:r>
              <w:rPr>
                <w:rFonts w:hint="eastAsia" w:ascii="宋体" w:hAnsi="宋体"/>
                <w:sz w:val="24"/>
                <w:szCs w:val="24"/>
              </w:rPr>
              <w:t>资信业绩部分：</w:t>
            </w:r>
            <w:r>
              <w:rPr>
                <w:rFonts w:hint="eastAsia" w:ascii="宋体" w:hAnsi="宋体"/>
                <w:sz w:val="24"/>
                <w:szCs w:val="24"/>
                <w:u w:val="single"/>
              </w:rPr>
              <w:t>20</w:t>
            </w:r>
            <w:r>
              <w:rPr>
                <w:rFonts w:hint="eastAsia" w:ascii="宋体" w:hAnsi="宋体"/>
                <w:sz w:val="24"/>
                <w:szCs w:val="24"/>
              </w:rPr>
              <w:t>分</w:t>
            </w:r>
          </w:p>
          <w:p>
            <w:pPr>
              <w:adjustRightInd w:val="0"/>
              <w:snapToGrid w:val="0"/>
              <w:spacing w:before="46" w:beforeLines="15" w:after="46" w:afterLines="15"/>
              <w:ind w:left="42" w:leftChars="20" w:right="42" w:rightChars="20"/>
              <w:rPr>
                <w:rFonts w:ascii="宋体" w:hAnsi="宋体"/>
                <w:sz w:val="24"/>
                <w:szCs w:val="24"/>
              </w:rPr>
            </w:pPr>
            <w:r>
              <w:rPr>
                <w:rFonts w:hint="eastAsia" w:ascii="宋体" w:hAnsi="宋体"/>
                <w:sz w:val="24"/>
                <w:szCs w:val="24"/>
              </w:rPr>
              <w:t>监理大纲部分：</w:t>
            </w:r>
            <w:r>
              <w:rPr>
                <w:rFonts w:hint="eastAsia" w:ascii="宋体" w:hAnsi="宋体"/>
                <w:sz w:val="24"/>
                <w:szCs w:val="24"/>
                <w:u w:val="single"/>
              </w:rPr>
              <w:t>20</w:t>
            </w:r>
            <w:r>
              <w:rPr>
                <w:rFonts w:hint="eastAsia" w:ascii="宋体" w:hAnsi="宋体"/>
                <w:sz w:val="24"/>
                <w:szCs w:val="24"/>
              </w:rPr>
              <w:t>分</w:t>
            </w:r>
          </w:p>
          <w:p>
            <w:pPr>
              <w:adjustRightInd w:val="0"/>
              <w:snapToGrid w:val="0"/>
              <w:spacing w:before="46" w:beforeLines="15" w:after="46" w:afterLines="15"/>
              <w:ind w:left="42" w:leftChars="20" w:right="42" w:rightChars="20"/>
              <w:rPr>
                <w:rFonts w:ascii="宋体" w:hAnsi="宋体"/>
                <w:sz w:val="24"/>
                <w:szCs w:val="24"/>
              </w:rPr>
            </w:pPr>
            <w:r>
              <w:rPr>
                <w:rFonts w:hint="eastAsia" w:ascii="宋体" w:hAnsi="宋体"/>
                <w:sz w:val="24"/>
                <w:szCs w:val="24"/>
              </w:rPr>
              <w:t>投标报价：</w:t>
            </w:r>
            <w:r>
              <w:rPr>
                <w:rFonts w:hint="eastAsia" w:ascii="宋体" w:hAnsi="宋体"/>
                <w:sz w:val="24"/>
                <w:szCs w:val="24"/>
                <w:u w:val="single"/>
              </w:rPr>
              <w:t>5</w:t>
            </w:r>
            <w:r>
              <w:rPr>
                <w:rFonts w:ascii="宋体" w:hAnsi="宋体"/>
                <w:sz w:val="24"/>
                <w:szCs w:val="24"/>
                <w:u w:val="single"/>
              </w:rPr>
              <w:t>0</w:t>
            </w:r>
            <w:r>
              <w:rPr>
                <w:rFonts w:hint="eastAsia" w:ascii="宋体" w:hAnsi="宋体"/>
                <w:sz w:val="24"/>
                <w:szCs w:val="24"/>
              </w:rPr>
              <w:t>分</w:t>
            </w:r>
          </w:p>
          <w:p>
            <w:pPr>
              <w:adjustRightInd w:val="0"/>
              <w:snapToGrid w:val="0"/>
              <w:spacing w:before="46" w:beforeLines="15" w:after="46" w:afterLines="15"/>
              <w:ind w:left="42" w:leftChars="20" w:right="42" w:rightChars="20"/>
              <w:rPr>
                <w:rFonts w:ascii="宋体" w:hAnsi="宋体"/>
                <w:sz w:val="24"/>
                <w:szCs w:val="24"/>
              </w:rPr>
            </w:pPr>
            <w:r>
              <w:rPr>
                <w:rFonts w:hint="eastAsia" w:ascii="宋体" w:hAnsi="宋体"/>
                <w:sz w:val="24"/>
                <w:szCs w:val="24"/>
              </w:rPr>
              <w:t>其他评分因素：投标人诚信得分：</w:t>
            </w:r>
            <w:r>
              <w:rPr>
                <w:rFonts w:hint="eastAsia" w:ascii="宋体" w:hAnsi="宋体"/>
                <w:sz w:val="24"/>
                <w:szCs w:val="24"/>
                <w:u w:val="single"/>
              </w:rPr>
              <w:t>1</w:t>
            </w:r>
            <w:r>
              <w:rPr>
                <w:rFonts w:ascii="宋体" w:hAnsi="宋体"/>
                <w:sz w:val="24"/>
                <w:szCs w:val="24"/>
                <w:u w:val="single"/>
              </w:rPr>
              <w:t>0</w:t>
            </w:r>
            <w:r>
              <w:rPr>
                <w:rFonts w:hint="eastAsia" w:ascii="宋体" w:hAnsi="宋体"/>
                <w:sz w:val="24"/>
                <w:szCs w:val="24"/>
              </w:rPr>
              <w:t>分</w:t>
            </w:r>
          </w:p>
          <w:p>
            <w:pPr>
              <w:adjustRightInd w:val="0"/>
              <w:snapToGrid w:val="0"/>
              <w:spacing w:before="46" w:beforeLines="15" w:after="46" w:afterLines="15"/>
              <w:ind w:left="42" w:leftChars="20" w:right="42" w:rightChars="20"/>
              <w:rPr>
                <w:rFonts w:ascii="宋体" w:hAnsi="宋体"/>
                <w:b/>
                <w:sz w:val="24"/>
                <w:szCs w:val="24"/>
              </w:rPr>
            </w:pPr>
            <w:r>
              <w:rPr>
                <w:rFonts w:hint="eastAsia" w:ascii="宋体" w:hAnsi="宋体"/>
                <w:sz w:val="24"/>
                <w:szCs w:val="24"/>
              </w:rPr>
              <w:t>投标人诚信得分=企业的诚信综合评价排名得分</w:t>
            </w:r>
            <w:r>
              <w:rPr>
                <w:rFonts w:hint="eastAsia" w:ascii="宋体" w:hAnsi="宋体"/>
                <w:bCs/>
                <w:sz w:val="24"/>
                <w:szCs w:val="24"/>
              </w:rPr>
              <w:t>×</w:t>
            </w:r>
            <w:r>
              <w:rPr>
                <w:rFonts w:hint="eastAsia" w:ascii="宋体" w:hAnsi="宋体"/>
                <w:sz w:val="24"/>
                <w:szCs w:val="24"/>
              </w:rPr>
              <w:t>10%。企业的诚信综合评价排名得分以投标截止当日广州市工程招标代理行业协会诚信综合评价业务信息系统上公布的企业60日诚信分为准。企业诚信综合评价排名以监理企业—房建为准。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089" w:hRule="atLeast"/>
          <w:jc w:val="center"/>
        </w:trPr>
        <w:tc>
          <w:tcPr>
            <w:tcW w:w="2102" w:type="dxa"/>
            <w:gridSpan w:val="2"/>
            <w:tcBorders>
              <w:top w:val="single" w:color="auto" w:sz="4" w:space="0"/>
              <w:bottom w:val="single" w:color="auto" w:sz="4" w:space="0"/>
              <w:right w:val="single" w:color="auto" w:sz="4" w:space="0"/>
            </w:tcBorders>
            <w:vAlign w:val="center"/>
          </w:tcPr>
          <w:p>
            <w:pPr>
              <w:adjustRightInd w:val="0"/>
              <w:snapToGrid w:val="0"/>
              <w:spacing w:before="46" w:beforeLines="15" w:after="46" w:afterLines="15"/>
              <w:ind w:left="42" w:leftChars="20" w:right="42" w:rightChars="20"/>
              <w:jc w:val="center"/>
              <w:rPr>
                <w:rFonts w:ascii="宋体" w:hAnsi="宋体"/>
                <w:sz w:val="24"/>
                <w:szCs w:val="24"/>
              </w:rPr>
            </w:pPr>
            <w:r>
              <w:rPr>
                <w:rFonts w:ascii="宋体" w:hAnsi="宋体"/>
                <w:sz w:val="24"/>
                <w:szCs w:val="24"/>
              </w:rPr>
              <w:t>2</w:t>
            </w:r>
          </w:p>
        </w:tc>
        <w:tc>
          <w:tcPr>
            <w:tcW w:w="25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46" w:beforeLines="15" w:after="46" w:afterLines="15"/>
              <w:ind w:left="42" w:leftChars="20" w:right="42" w:rightChars="20"/>
              <w:jc w:val="center"/>
              <w:rPr>
                <w:rFonts w:ascii="宋体" w:hAnsi="宋体"/>
                <w:sz w:val="24"/>
                <w:szCs w:val="24"/>
              </w:rPr>
            </w:pPr>
            <w:r>
              <w:rPr>
                <w:rFonts w:hint="eastAsia" w:ascii="宋体" w:hAnsi="宋体"/>
                <w:sz w:val="24"/>
                <w:szCs w:val="24"/>
              </w:rPr>
              <w:t>评选基准价计算方法</w:t>
            </w:r>
          </w:p>
        </w:tc>
        <w:tc>
          <w:tcPr>
            <w:tcW w:w="5103" w:type="dxa"/>
            <w:tcBorders>
              <w:top w:val="single" w:color="auto" w:sz="4" w:space="0"/>
              <w:left w:val="single" w:color="auto" w:sz="4" w:space="0"/>
              <w:bottom w:val="single" w:color="auto" w:sz="4" w:space="0"/>
            </w:tcBorders>
            <w:vAlign w:val="center"/>
          </w:tcPr>
          <w:p>
            <w:pPr>
              <w:adjustRightInd w:val="0"/>
              <w:snapToGrid w:val="0"/>
              <w:spacing w:before="46" w:beforeLines="15" w:after="46" w:afterLines="15"/>
              <w:ind w:left="42" w:leftChars="20" w:right="42" w:rightChars="20"/>
              <w:rPr>
                <w:rFonts w:ascii="宋体" w:hAnsi="宋体"/>
                <w:b/>
                <w:sz w:val="24"/>
                <w:szCs w:val="24"/>
              </w:rPr>
            </w:pPr>
            <w:r>
              <w:rPr>
                <w:rFonts w:hint="eastAsia" w:ascii="宋体" w:hAnsi="宋体"/>
                <w:b/>
                <w:sz w:val="24"/>
                <w:szCs w:val="24"/>
              </w:rPr>
              <w:t>参与评选基准价计算范围为[最高投标限价×80%，最高投标限价]，超过此范围的报价不参与评选基准价的计算。</w:t>
            </w:r>
          </w:p>
          <w:p>
            <w:pPr>
              <w:adjustRightInd w:val="0"/>
              <w:snapToGrid w:val="0"/>
              <w:spacing w:before="46" w:beforeLines="15" w:after="46" w:afterLines="15"/>
              <w:ind w:right="42" w:rightChars="20"/>
              <w:rPr>
                <w:rFonts w:ascii="宋体" w:hAnsi="宋体"/>
                <w:sz w:val="24"/>
                <w:szCs w:val="24"/>
              </w:rPr>
            </w:pPr>
            <w:r>
              <w:rPr>
                <w:rFonts w:hint="eastAsia" w:ascii="宋体" w:hAnsi="宋体"/>
                <w:sz w:val="24"/>
                <w:szCs w:val="24"/>
              </w:rPr>
              <w:t>1、当投标报价在参与评选基准价计算范围内且通过形式评审、资格评审、响应性评审的投标人大于或等于5名时，所有入围的投标报价中去掉一个最高价和一个最低价，取余下投标报价的算术平均值作为评选基准价。</w:t>
            </w:r>
          </w:p>
          <w:p>
            <w:pPr>
              <w:adjustRightInd w:val="0"/>
              <w:snapToGrid w:val="0"/>
              <w:spacing w:before="46" w:beforeLines="15" w:after="46" w:afterLines="15"/>
              <w:ind w:right="42" w:rightChars="20"/>
              <w:rPr>
                <w:rFonts w:ascii="宋体" w:hAnsi="宋体"/>
                <w:sz w:val="24"/>
                <w:szCs w:val="24"/>
              </w:rPr>
            </w:pPr>
            <w:r>
              <w:rPr>
                <w:rFonts w:hint="eastAsia" w:ascii="宋体" w:hAnsi="宋体"/>
                <w:sz w:val="24"/>
                <w:szCs w:val="24"/>
              </w:rPr>
              <w:t>2、当投标报价在参与评选基准价计算范围内且通过形式评审、资格评审、响应性评审的投标人小于5名时，取所有入围的投标报价的算术平均值的作为评选基准价。</w:t>
            </w:r>
          </w:p>
          <w:p>
            <w:pPr>
              <w:adjustRightInd w:val="0"/>
              <w:snapToGrid w:val="0"/>
              <w:spacing w:before="46" w:beforeLines="15" w:after="46" w:afterLines="15"/>
              <w:ind w:left="42" w:leftChars="20" w:right="42" w:rightChars="20"/>
              <w:rPr>
                <w:rFonts w:ascii="宋体" w:hAnsi="宋体"/>
                <w:sz w:val="24"/>
                <w:szCs w:val="24"/>
              </w:rPr>
            </w:pPr>
            <w:r>
              <w:rPr>
                <w:rFonts w:hint="eastAsia" w:ascii="宋体" w:hAnsi="宋体"/>
                <w:sz w:val="24"/>
                <w:szCs w:val="24"/>
              </w:rPr>
              <w:t>3、若没有投标报价在参与评选基准价计算范围内且通过形式评审、资格评审、响应性评审的投标人时，最高投标限价×80%为评选基准价。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703" w:hRule="atLeast"/>
          <w:jc w:val="center"/>
        </w:trPr>
        <w:tc>
          <w:tcPr>
            <w:tcW w:w="2102" w:type="dxa"/>
            <w:gridSpan w:val="2"/>
            <w:tcBorders>
              <w:top w:val="single" w:color="auto" w:sz="4" w:space="0"/>
              <w:bottom w:val="single" w:color="auto" w:sz="4" w:space="0"/>
              <w:right w:val="single" w:color="auto" w:sz="4" w:space="0"/>
            </w:tcBorders>
            <w:vAlign w:val="center"/>
          </w:tcPr>
          <w:p>
            <w:pPr>
              <w:adjustRightInd w:val="0"/>
              <w:snapToGrid w:val="0"/>
              <w:spacing w:before="46" w:beforeLines="15" w:after="46" w:afterLines="15"/>
              <w:ind w:left="42" w:leftChars="20" w:right="42" w:rightChars="20"/>
              <w:jc w:val="center"/>
              <w:rPr>
                <w:rFonts w:ascii="宋体" w:hAnsi="宋体"/>
                <w:sz w:val="24"/>
                <w:szCs w:val="24"/>
              </w:rPr>
            </w:pPr>
            <w:r>
              <w:rPr>
                <w:rFonts w:ascii="宋体" w:hAnsi="宋体"/>
                <w:sz w:val="24"/>
                <w:szCs w:val="24"/>
              </w:rPr>
              <w:t>3</w:t>
            </w:r>
          </w:p>
        </w:tc>
        <w:tc>
          <w:tcPr>
            <w:tcW w:w="25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46" w:beforeLines="15" w:after="46" w:afterLines="15"/>
              <w:ind w:left="42" w:leftChars="20" w:right="42" w:rightChars="20"/>
              <w:jc w:val="center"/>
              <w:rPr>
                <w:rFonts w:ascii="宋体" w:hAnsi="宋体"/>
                <w:sz w:val="24"/>
                <w:szCs w:val="24"/>
              </w:rPr>
            </w:pPr>
            <w:r>
              <w:rPr>
                <w:rFonts w:hint="eastAsia" w:ascii="宋体" w:hAnsi="宋体"/>
                <w:sz w:val="24"/>
                <w:szCs w:val="24"/>
              </w:rPr>
              <w:t>投标报价的偏差率</w:t>
            </w:r>
          </w:p>
          <w:p>
            <w:pPr>
              <w:adjustRightInd w:val="0"/>
              <w:snapToGrid w:val="0"/>
              <w:spacing w:before="46" w:beforeLines="15" w:after="46" w:afterLines="15"/>
              <w:ind w:left="42" w:leftChars="20" w:right="42" w:rightChars="20"/>
              <w:jc w:val="center"/>
              <w:rPr>
                <w:rFonts w:ascii="宋体" w:hAnsi="宋体"/>
                <w:sz w:val="24"/>
                <w:szCs w:val="24"/>
              </w:rPr>
            </w:pPr>
            <w:r>
              <w:rPr>
                <w:rFonts w:hint="eastAsia" w:ascii="宋体" w:hAnsi="宋体"/>
                <w:sz w:val="24"/>
                <w:szCs w:val="24"/>
              </w:rPr>
              <w:t>计算公式</w:t>
            </w:r>
          </w:p>
        </w:tc>
        <w:tc>
          <w:tcPr>
            <w:tcW w:w="5103" w:type="dxa"/>
            <w:tcBorders>
              <w:top w:val="single" w:color="auto" w:sz="4" w:space="0"/>
              <w:left w:val="single" w:color="auto" w:sz="4" w:space="0"/>
              <w:bottom w:val="single" w:color="auto" w:sz="4" w:space="0"/>
            </w:tcBorders>
            <w:vAlign w:val="center"/>
          </w:tcPr>
          <w:p>
            <w:pPr>
              <w:adjustRightInd w:val="0"/>
              <w:snapToGrid w:val="0"/>
              <w:spacing w:before="46" w:beforeLines="15" w:after="46" w:afterLines="15"/>
              <w:ind w:left="42" w:leftChars="20" w:right="42" w:rightChars="20"/>
              <w:rPr>
                <w:rFonts w:ascii="宋体" w:hAnsi="宋体"/>
                <w:sz w:val="24"/>
                <w:szCs w:val="24"/>
              </w:rPr>
            </w:pPr>
            <w:r>
              <w:rPr>
                <w:rFonts w:hint="eastAsia" w:ascii="宋体" w:hAnsi="宋体"/>
                <w:sz w:val="24"/>
                <w:szCs w:val="24"/>
              </w:rPr>
              <w:t>偏差率</w:t>
            </w:r>
            <w:r>
              <w:rPr>
                <w:rFonts w:ascii="宋体" w:hAnsi="宋体"/>
                <w:sz w:val="24"/>
                <w:szCs w:val="24"/>
              </w:rPr>
              <w:t>=</w:t>
            </w:r>
            <w:r>
              <w:rPr>
                <w:rFonts w:hint="eastAsia" w:ascii="宋体" w:hAnsi="宋体"/>
                <w:sz w:val="24"/>
                <w:szCs w:val="24"/>
              </w:rPr>
              <w:t>∣投标报价—评选基准价∣</w:t>
            </w:r>
            <w:r>
              <w:rPr>
                <w:rFonts w:ascii="宋体" w:hAnsi="宋体"/>
                <w:sz w:val="24"/>
                <w:szCs w:val="24"/>
              </w:rPr>
              <w:t>/</w:t>
            </w:r>
            <w:r>
              <w:rPr>
                <w:rFonts w:hint="eastAsia" w:ascii="宋体" w:hAnsi="宋体"/>
                <w:sz w:val="24"/>
                <w:szCs w:val="24"/>
              </w:rPr>
              <w:t>评选基准价</w:t>
            </w:r>
            <w:r>
              <w:rPr>
                <w:rFonts w:hint="eastAsia" w:ascii="宋体" w:hAnsi="宋体"/>
                <w:sz w:val="24"/>
                <w:szCs w:val="24"/>
                <w:lang w:eastAsia="zh-CN"/>
              </w:rPr>
              <w:t>×</w:t>
            </w:r>
            <w:r>
              <w:rPr>
                <w:rFonts w:ascii="宋体" w:hAnsi="宋体"/>
                <w:sz w:val="24"/>
                <w:szCs w:val="24"/>
              </w:rPr>
              <w:t>100%</w:t>
            </w:r>
          </w:p>
          <w:p>
            <w:pPr>
              <w:widowControl/>
              <w:adjustRightInd w:val="0"/>
              <w:snapToGrid w:val="0"/>
              <w:rPr>
                <w:rFonts w:ascii="宋体" w:hAnsi="宋体"/>
                <w:sz w:val="24"/>
                <w:szCs w:val="24"/>
              </w:rPr>
            </w:pPr>
            <w:r>
              <w:rPr>
                <w:rFonts w:ascii="宋体" w:hAnsi="宋体"/>
                <w:sz w:val="24"/>
                <w:szCs w:val="24"/>
              </w:rPr>
              <w:t>（偏差率四舍五入保留</w:t>
            </w:r>
            <w:r>
              <w:rPr>
                <w:rFonts w:hint="eastAsia" w:ascii="宋体" w:hAnsi="宋体"/>
                <w:sz w:val="24"/>
                <w:szCs w:val="24"/>
              </w:rPr>
              <w:t>2</w:t>
            </w:r>
            <w:r>
              <w:rPr>
                <w:rFonts w:ascii="宋体" w:hAnsi="宋体"/>
                <w:sz w:val="24"/>
                <w:szCs w:val="24"/>
              </w:rPr>
              <w:t>位小数，报价偏差率不足1%的，按直线内插法计算投标报价得分）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35" w:hRule="atLeast"/>
          <w:jc w:val="center"/>
        </w:trPr>
        <w:tc>
          <w:tcPr>
            <w:tcW w:w="960" w:type="dxa"/>
            <w:vMerge w:val="restart"/>
            <w:tcBorders>
              <w:top w:val="single" w:color="auto" w:sz="4" w:space="0"/>
              <w:right w:val="single" w:color="auto" w:sz="4" w:space="0"/>
            </w:tcBorders>
            <w:vAlign w:val="center"/>
          </w:tcPr>
          <w:p>
            <w:pPr>
              <w:spacing w:line="440" w:lineRule="exact"/>
              <w:jc w:val="center"/>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1</w:t>
            </w:r>
            <w:r>
              <w:rPr>
                <w:rFonts w:hint="eastAsia" w:ascii="宋体" w:hAnsi="宋体"/>
                <w:sz w:val="24"/>
                <w:szCs w:val="24"/>
              </w:rPr>
              <w:t>）</w:t>
            </w:r>
          </w:p>
        </w:tc>
        <w:tc>
          <w:tcPr>
            <w:tcW w:w="1142" w:type="dxa"/>
            <w:vMerge w:val="restart"/>
            <w:tcBorders>
              <w:top w:val="single" w:color="auto" w:sz="4" w:space="0"/>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资信业绩评分标准（20分）</w:t>
            </w:r>
          </w:p>
        </w:tc>
        <w:tc>
          <w:tcPr>
            <w:tcW w:w="25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46" w:beforeLines="15" w:after="46" w:afterLines="15"/>
              <w:ind w:left="42" w:leftChars="20" w:right="42" w:rightChars="20"/>
              <w:jc w:val="center"/>
              <w:rPr>
                <w:rFonts w:ascii="宋体" w:hAnsi="宋体"/>
                <w:sz w:val="24"/>
                <w:szCs w:val="24"/>
              </w:rPr>
            </w:pPr>
            <w:r>
              <w:rPr>
                <w:rFonts w:hint="eastAsia" w:ascii="宋体" w:hAnsi="宋体"/>
                <w:sz w:val="24"/>
                <w:szCs w:val="24"/>
              </w:rPr>
              <w:t>项目监理业绩及获奖</w:t>
            </w:r>
          </w:p>
          <w:p>
            <w:pPr>
              <w:adjustRightInd w:val="0"/>
              <w:snapToGrid w:val="0"/>
              <w:spacing w:before="46" w:beforeLines="15" w:after="46" w:afterLines="15"/>
              <w:ind w:left="42" w:leftChars="20" w:right="42" w:rightChars="20"/>
              <w:jc w:val="center"/>
              <w:rPr>
                <w:rFonts w:ascii="宋体" w:hAnsi="宋体"/>
                <w:sz w:val="24"/>
                <w:szCs w:val="24"/>
              </w:rPr>
            </w:pPr>
            <w:r>
              <w:rPr>
                <w:rFonts w:hint="eastAsia" w:ascii="宋体" w:hAnsi="宋体"/>
                <w:sz w:val="24"/>
                <w:szCs w:val="24"/>
              </w:rPr>
              <w:t>（5分）</w:t>
            </w:r>
          </w:p>
        </w:tc>
        <w:tc>
          <w:tcPr>
            <w:tcW w:w="5103" w:type="dxa"/>
            <w:tcBorders>
              <w:top w:val="single" w:color="auto" w:sz="4" w:space="0"/>
              <w:left w:val="single" w:color="auto" w:sz="4" w:space="0"/>
              <w:bottom w:val="single" w:color="auto" w:sz="4" w:space="0"/>
            </w:tcBorders>
            <w:vAlign w:val="center"/>
          </w:tcPr>
          <w:p>
            <w:pPr>
              <w:adjustRightInd w:val="0"/>
              <w:snapToGrid w:val="0"/>
              <w:rPr>
                <w:sz w:val="24"/>
                <w:szCs w:val="24"/>
              </w:rPr>
            </w:pPr>
            <w:r>
              <w:rPr>
                <w:sz w:val="24"/>
                <w:szCs w:val="24"/>
              </w:rPr>
              <w:t>1</w:t>
            </w:r>
            <w:r>
              <w:rPr>
                <w:rFonts w:hint="eastAsia"/>
                <w:sz w:val="24"/>
                <w:szCs w:val="24"/>
              </w:rPr>
              <w:t>、企业监理业绩：近三年（</w:t>
            </w:r>
            <w:r>
              <w:rPr>
                <w:sz w:val="24"/>
                <w:szCs w:val="24"/>
              </w:rPr>
              <w:t>2020年1月1日）</w:t>
            </w:r>
            <w:r>
              <w:rPr>
                <w:rFonts w:hint="eastAsia"/>
                <w:sz w:val="24"/>
                <w:szCs w:val="24"/>
              </w:rPr>
              <w:t>完成过质量合格的类似监理工程业绩，每项得1分，最多得3分。</w:t>
            </w:r>
          </w:p>
          <w:p>
            <w:pPr>
              <w:adjustRightInd w:val="0"/>
              <w:snapToGrid w:val="0"/>
              <w:rPr>
                <w:rFonts w:ascii="宋体" w:hAnsi="宋体"/>
                <w:sz w:val="24"/>
                <w:szCs w:val="24"/>
              </w:rPr>
            </w:pPr>
            <w:r>
              <w:rPr>
                <w:sz w:val="24"/>
                <w:szCs w:val="24"/>
              </w:rPr>
              <w:t>2</w:t>
            </w:r>
            <w:r>
              <w:rPr>
                <w:rFonts w:hint="eastAsia"/>
                <w:sz w:val="24"/>
                <w:szCs w:val="24"/>
              </w:rPr>
              <w:t>、获奖监理业绩：近三年（</w:t>
            </w:r>
            <w:r>
              <w:rPr>
                <w:sz w:val="24"/>
                <w:szCs w:val="24"/>
              </w:rPr>
              <w:t>2020年1月1日）监理过的房屋建筑工程施工监理项目，获得国家级奖项的每个得2分，获得省级奖项的每项得1分；获得市级奖项的每项得0.5分。本项最多得</w:t>
            </w:r>
            <w:r>
              <w:rPr>
                <w:rFonts w:hint="eastAsia"/>
                <w:sz w:val="24"/>
                <w:szCs w:val="24"/>
              </w:rPr>
              <w:t>2</w:t>
            </w:r>
            <w:r>
              <w:rPr>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35" w:hRule="atLeast"/>
          <w:jc w:val="center"/>
        </w:trPr>
        <w:tc>
          <w:tcPr>
            <w:tcW w:w="960" w:type="dxa"/>
            <w:vMerge w:val="continue"/>
            <w:tcBorders>
              <w:top w:val="single" w:color="auto" w:sz="4" w:space="0"/>
              <w:right w:val="single" w:color="auto" w:sz="4" w:space="0"/>
            </w:tcBorders>
            <w:vAlign w:val="center"/>
          </w:tcPr>
          <w:p>
            <w:pPr>
              <w:spacing w:line="440" w:lineRule="exact"/>
              <w:jc w:val="center"/>
              <w:rPr>
                <w:rFonts w:ascii="宋体" w:hAnsi="宋体"/>
                <w:sz w:val="24"/>
                <w:szCs w:val="24"/>
              </w:rPr>
            </w:pPr>
          </w:p>
        </w:tc>
        <w:tc>
          <w:tcPr>
            <w:tcW w:w="1142" w:type="dxa"/>
            <w:vMerge w:val="continue"/>
            <w:tcBorders>
              <w:top w:val="single" w:color="auto" w:sz="4" w:space="0"/>
              <w:right w:val="single" w:color="auto" w:sz="4" w:space="0"/>
            </w:tcBorders>
            <w:vAlign w:val="center"/>
          </w:tcPr>
          <w:p>
            <w:pPr>
              <w:spacing w:line="440" w:lineRule="exact"/>
              <w:jc w:val="center"/>
              <w:rPr>
                <w:rFonts w:ascii="宋体" w:hAnsi="宋体"/>
                <w:sz w:val="24"/>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46" w:beforeLines="15" w:after="46" w:afterLines="15"/>
              <w:ind w:left="42" w:leftChars="20" w:right="42" w:rightChars="20"/>
              <w:jc w:val="center"/>
              <w:rPr>
                <w:rFonts w:ascii="宋体" w:hAnsi="宋体"/>
                <w:sz w:val="24"/>
                <w:szCs w:val="24"/>
              </w:rPr>
            </w:pPr>
            <w:r>
              <w:rPr>
                <w:rFonts w:hint="eastAsia" w:ascii="宋体" w:hAnsi="宋体"/>
                <w:sz w:val="24"/>
                <w:szCs w:val="24"/>
              </w:rPr>
              <w:t>总监理工程师（1分）</w:t>
            </w:r>
          </w:p>
        </w:tc>
        <w:tc>
          <w:tcPr>
            <w:tcW w:w="5103" w:type="dxa"/>
            <w:tcBorders>
              <w:top w:val="single" w:color="auto" w:sz="4" w:space="0"/>
              <w:left w:val="single" w:color="auto" w:sz="4" w:space="0"/>
              <w:bottom w:val="single" w:color="auto" w:sz="4" w:space="0"/>
            </w:tcBorders>
            <w:vAlign w:val="center"/>
          </w:tcPr>
          <w:p>
            <w:pPr>
              <w:spacing w:before="100" w:beforeAutospacing="1" w:after="100" w:afterAutospacing="1"/>
              <w:rPr>
                <w:rFonts w:ascii="宋体" w:hAnsi="宋体"/>
                <w:sz w:val="24"/>
                <w:szCs w:val="24"/>
              </w:rPr>
            </w:pPr>
            <w:r>
              <w:rPr>
                <w:rFonts w:hint="eastAsia" w:ascii="宋体" w:hAnsi="宋体"/>
                <w:sz w:val="24"/>
                <w:szCs w:val="24"/>
              </w:rPr>
              <w:t>具有中级或以上技术职称得1分，没有的不得分。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342" w:hRule="atLeast"/>
          <w:jc w:val="center"/>
        </w:trPr>
        <w:tc>
          <w:tcPr>
            <w:tcW w:w="960" w:type="dxa"/>
            <w:vMerge w:val="continue"/>
            <w:tcBorders>
              <w:right w:val="single" w:color="auto" w:sz="4" w:space="0"/>
            </w:tcBorders>
            <w:vAlign w:val="center"/>
          </w:tcPr>
          <w:p>
            <w:pPr>
              <w:adjustRightInd w:val="0"/>
              <w:snapToGrid w:val="0"/>
              <w:spacing w:before="46" w:beforeLines="15" w:after="46" w:afterLines="15"/>
              <w:ind w:left="42" w:leftChars="20" w:right="42" w:rightChars="20"/>
              <w:jc w:val="center"/>
              <w:rPr>
                <w:rFonts w:ascii="宋体" w:hAnsi="宋体"/>
                <w:sz w:val="24"/>
                <w:szCs w:val="24"/>
              </w:rPr>
            </w:pPr>
          </w:p>
        </w:tc>
        <w:tc>
          <w:tcPr>
            <w:tcW w:w="1142" w:type="dxa"/>
            <w:vMerge w:val="continue"/>
            <w:tcBorders>
              <w:right w:val="single" w:color="auto" w:sz="4" w:space="0"/>
            </w:tcBorders>
            <w:vAlign w:val="center"/>
          </w:tcPr>
          <w:p>
            <w:pPr>
              <w:adjustRightInd w:val="0"/>
              <w:snapToGrid w:val="0"/>
              <w:spacing w:before="46" w:beforeLines="15" w:after="46" w:afterLines="15"/>
              <w:ind w:left="42" w:leftChars="20" w:right="42" w:rightChars="20"/>
              <w:jc w:val="center"/>
              <w:rPr>
                <w:rFonts w:ascii="宋体" w:hAnsi="宋体"/>
                <w:sz w:val="24"/>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46" w:beforeLines="15" w:after="46" w:afterLines="15"/>
              <w:ind w:left="42" w:leftChars="20" w:right="42" w:rightChars="20"/>
              <w:jc w:val="center"/>
              <w:rPr>
                <w:rFonts w:ascii="宋体" w:hAnsi="宋体"/>
                <w:sz w:val="24"/>
                <w:szCs w:val="24"/>
              </w:rPr>
            </w:pPr>
            <w:r>
              <w:rPr>
                <w:rFonts w:hint="eastAsia"/>
                <w:sz w:val="24"/>
                <w:szCs w:val="24"/>
              </w:rPr>
              <w:t>其他主要人员资历</w:t>
            </w:r>
          </w:p>
          <w:p>
            <w:pPr>
              <w:adjustRightInd w:val="0"/>
              <w:snapToGrid w:val="0"/>
              <w:spacing w:before="46" w:beforeLines="15" w:after="46" w:afterLines="15"/>
              <w:ind w:left="42" w:leftChars="20" w:right="42" w:rightChars="20"/>
              <w:jc w:val="center"/>
              <w:rPr>
                <w:rFonts w:ascii="宋体" w:hAnsi="宋体"/>
                <w:sz w:val="24"/>
                <w:szCs w:val="24"/>
              </w:rPr>
            </w:pPr>
            <w:r>
              <w:rPr>
                <w:rFonts w:hint="eastAsia" w:ascii="宋体" w:hAnsi="宋体"/>
                <w:sz w:val="24"/>
                <w:szCs w:val="24"/>
              </w:rPr>
              <w:t>（5分）</w:t>
            </w:r>
          </w:p>
        </w:tc>
        <w:tc>
          <w:tcPr>
            <w:tcW w:w="5103" w:type="dxa"/>
            <w:tcBorders>
              <w:top w:val="single" w:color="auto" w:sz="4" w:space="0"/>
              <w:left w:val="single" w:color="auto" w:sz="4" w:space="0"/>
              <w:bottom w:val="single" w:color="auto" w:sz="4" w:space="0"/>
            </w:tcBorders>
            <w:vAlign w:val="center"/>
          </w:tcPr>
          <w:p>
            <w:pPr>
              <w:adjustRightInd w:val="0"/>
              <w:snapToGrid w:val="0"/>
              <w:rPr>
                <w:sz w:val="24"/>
                <w:szCs w:val="24"/>
              </w:rPr>
            </w:pPr>
            <w:r>
              <w:rPr>
                <w:rFonts w:hint="eastAsia"/>
                <w:sz w:val="24"/>
                <w:szCs w:val="24"/>
              </w:rPr>
              <w:t>1、监理人员满足土建专业监理工程师1人、机电专业监理工程师1人、造价工程师1人、安全员1人，监理员1人要求的得1分，否则不得分。</w:t>
            </w:r>
          </w:p>
          <w:p>
            <w:pPr>
              <w:adjustRightInd w:val="0"/>
              <w:snapToGrid w:val="0"/>
              <w:rPr>
                <w:sz w:val="24"/>
                <w:szCs w:val="24"/>
              </w:rPr>
            </w:pPr>
            <w:r>
              <w:rPr>
                <w:rFonts w:hint="eastAsia"/>
                <w:sz w:val="24"/>
                <w:szCs w:val="24"/>
              </w:rPr>
              <w:t>（注：监理人员专业以其专业监理工程师证书或注册监理工程师注册执业证书或职称证或毕业证上所列的相关专业为准，其中造价工程师以注册造价工程师证或一级造价工程师为准；安全员以安全监理员培训证书（岗位证）或注册安全工程师证为准。）</w:t>
            </w:r>
          </w:p>
          <w:p>
            <w:pPr>
              <w:adjustRightInd w:val="0"/>
              <w:snapToGrid w:val="0"/>
              <w:rPr>
                <w:sz w:val="24"/>
                <w:szCs w:val="24"/>
              </w:rPr>
            </w:pPr>
            <w:r>
              <w:rPr>
                <w:rFonts w:hint="eastAsia"/>
                <w:sz w:val="24"/>
                <w:szCs w:val="24"/>
              </w:rPr>
              <w:t>2、在配备的监理人员中(注:不含总监)，具有高级工程师或以上技术职称的，每人加1分；最高不超过2分。</w:t>
            </w:r>
          </w:p>
          <w:p>
            <w:pPr>
              <w:adjustRightInd w:val="0"/>
              <w:snapToGrid w:val="0"/>
              <w:rPr>
                <w:sz w:val="24"/>
                <w:szCs w:val="24"/>
              </w:rPr>
            </w:pPr>
            <w:r>
              <w:rPr>
                <w:rFonts w:hint="eastAsia"/>
                <w:sz w:val="24"/>
                <w:szCs w:val="24"/>
              </w:rPr>
              <w:t>3、在配备的监理人员中(注:不含总监)，具备注册监理工程师或注册造价工程师（或一级造价工程师）或注册安全工程师每人加1分，最高不超过2分。</w:t>
            </w:r>
          </w:p>
          <w:p>
            <w:pPr>
              <w:adjustRightInd w:val="0"/>
              <w:snapToGrid w:val="0"/>
              <w:rPr>
                <w:rFonts w:ascii="宋体" w:hAnsi="宋体"/>
                <w:sz w:val="24"/>
                <w:szCs w:val="24"/>
              </w:rPr>
            </w:pPr>
            <w:r>
              <w:rPr>
                <w:rFonts w:hint="eastAsia"/>
                <w:sz w:val="24"/>
                <w:szCs w:val="24"/>
              </w:rPr>
              <w:t>本项最多得5分。一人多证可累计计分。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689" w:hRule="atLeast"/>
          <w:jc w:val="center"/>
        </w:trPr>
        <w:tc>
          <w:tcPr>
            <w:tcW w:w="960" w:type="dxa"/>
            <w:vMerge w:val="continue"/>
            <w:tcBorders>
              <w:right w:val="single" w:color="auto" w:sz="4" w:space="0"/>
            </w:tcBorders>
            <w:vAlign w:val="center"/>
          </w:tcPr>
          <w:p>
            <w:pPr>
              <w:adjustRightInd w:val="0"/>
              <w:snapToGrid w:val="0"/>
              <w:spacing w:before="46" w:beforeLines="15" w:after="46" w:afterLines="15"/>
              <w:ind w:left="42" w:leftChars="20" w:right="42" w:rightChars="20"/>
              <w:jc w:val="center"/>
              <w:rPr>
                <w:rFonts w:ascii="宋体" w:hAnsi="宋体"/>
                <w:sz w:val="24"/>
                <w:szCs w:val="24"/>
              </w:rPr>
            </w:pPr>
          </w:p>
        </w:tc>
        <w:tc>
          <w:tcPr>
            <w:tcW w:w="1142" w:type="dxa"/>
            <w:vMerge w:val="continue"/>
            <w:tcBorders>
              <w:right w:val="single" w:color="auto" w:sz="4" w:space="0"/>
            </w:tcBorders>
            <w:vAlign w:val="center"/>
          </w:tcPr>
          <w:p>
            <w:pPr>
              <w:adjustRightInd w:val="0"/>
              <w:snapToGrid w:val="0"/>
              <w:spacing w:before="46" w:beforeLines="15" w:after="46" w:afterLines="15"/>
              <w:ind w:left="42" w:leftChars="20" w:right="42" w:rightChars="20"/>
              <w:jc w:val="center"/>
              <w:rPr>
                <w:rFonts w:ascii="宋体" w:hAnsi="宋体"/>
                <w:sz w:val="24"/>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46" w:beforeLines="15" w:after="46" w:afterLines="15"/>
              <w:ind w:left="42" w:leftChars="20" w:right="42" w:rightChars="20"/>
              <w:jc w:val="center"/>
              <w:rPr>
                <w:rFonts w:ascii="宋体" w:hAnsi="宋体"/>
                <w:sz w:val="24"/>
                <w:szCs w:val="24"/>
              </w:rPr>
            </w:pPr>
            <w:r>
              <w:rPr>
                <w:rFonts w:hint="eastAsia" w:ascii="宋体" w:hAnsi="宋体"/>
                <w:sz w:val="24"/>
                <w:szCs w:val="24"/>
              </w:rPr>
              <w:t>管理体系认证（5分）</w:t>
            </w:r>
          </w:p>
        </w:tc>
        <w:tc>
          <w:tcPr>
            <w:tcW w:w="5103" w:type="dxa"/>
            <w:tcBorders>
              <w:top w:val="single" w:color="auto" w:sz="4" w:space="0"/>
              <w:left w:val="single" w:color="auto" w:sz="4" w:space="0"/>
              <w:bottom w:val="single" w:color="auto" w:sz="4" w:space="0"/>
            </w:tcBorders>
            <w:vAlign w:val="center"/>
          </w:tcPr>
          <w:p>
            <w:pPr>
              <w:spacing w:before="100" w:beforeAutospacing="1" w:after="100" w:afterAutospacing="1"/>
              <w:ind w:right="84" w:rightChars="40"/>
              <w:rPr>
                <w:rFonts w:ascii="宋体" w:hAnsi="宋体"/>
                <w:sz w:val="24"/>
                <w:szCs w:val="24"/>
              </w:rPr>
            </w:pPr>
            <w:r>
              <w:rPr>
                <w:rFonts w:hint="eastAsia" w:ascii="宋体" w:hAnsi="宋体"/>
                <w:sz w:val="24"/>
                <w:szCs w:val="24"/>
              </w:rPr>
              <w:t>具备质量管理体系、环境管理体系、职业健康安全管理体系、信息安全管理体系、知识产权管理体系认证证书的，每个证书得1分，最多得5分，没有的不得分。（提供证书扫描件，认证证书须在有效期内）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972" w:hRule="atLeast"/>
          <w:jc w:val="center"/>
        </w:trPr>
        <w:tc>
          <w:tcPr>
            <w:tcW w:w="960" w:type="dxa"/>
            <w:vMerge w:val="continue"/>
            <w:tcBorders>
              <w:bottom w:val="single" w:color="auto" w:sz="4" w:space="0"/>
              <w:right w:val="single" w:color="auto" w:sz="4" w:space="0"/>
            </w:tcBorders>
            <w:vAlign w:val="center"/>
          </w:tcPr>
          <w:p>
            <w:pPr>
              <w:adjustRightInd w:val="0"/>
              <w:snapToGrid w:val="0"/>
              <w:spacing w:before="46" w:beforeLines="15" w:after="46" w:afterLines="15"/>
              <w:ind w:left="42" w:leftChars="20" w:right="42" w:rightChars="20"/>
              <w:jc w:val="center"/>
              <w:rPr>
                <w:rFonts w:ascii="宋体" w:hAnsi="宋体"/>
                <w:sz w:val="24"/>
                <w:szCs w:val="24"/>
              </w:rPr>
            </w:pPr>
          </w:p>
        </w:tc>
        <w:tc>
          <w:tcPr>
            <w:tcW w:w="1142" w:type="dxa"/>
            <w:vMerge w:val="continue"/>
            <w:tcBorders>
              <w:bottom w:val="single" w:color="auto" w:sz="4" w:space="0"/>
              <w:right w:val="single" w:color="auto" w:sz="4" w:space="0"/>
            </w:tcBorders>
            <w:vAlign w:val="center"/>
          </w:tcPr>
          <w:p>
            <w:pPr>
              <w:adjustRightInd w:val="0"/>
              <w:snapToGrid w:val="0"/>
              <w:spacing w:before="46" w:beforeLines="15" w:after="46" w:afterLines="15"/>
              <w:ind w:left="42" w:leftChars="20" w:right="42" w:rightChars="20"/>
              <w:jc w:val="center"/>
              <w:rPr>
                <w:rFonts w:ascii="宋体" w:hAnsi="宋体"/>
                <w:sz w:val="24"/>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46" w:beforeLines="15" w:after="46" w:afterLines="15"/>
              <w:ind w:left="42" w:leftChars="20" w:right="42" w:rightChars="20"/>
              <w:jc w:val="center"/>
              <w:rPr>
                <w:rFonts w:ascii="宋体" w:hAnsi="宋体"/>
                <w:sz w:val="24"/>
                <w:szCs w:val="24"/>
              </w:rPr>
            </w:pPr>
            <w:r>
              <w:rPr>
                <w:rFonts w:hint="eastAsia" w:ascii="宋体" w:hAnsi="宋体"/>
                <w:sz w:val="24"/>
                <w:szCs w:val="24"/>
              </w:rPr>
              <w:t>投标人信誉与实力</w:t>
            </w:r>
          </w:p>
          <w:p>
            <w:pPr>
              <w:adjustRightInd w:val="0"/>
              <w:snapToGrid w:val="0"/>
              <w:spacing w:before="46" w:beforeLines="15" w:after="46" w:afterLines="15"/>
              <w:ind w:left="42" w:leftChars="20" w:right="42" w:rightChars="20"/>
              <w:jc w:val="center"/>
              <w:rPr>
                <w:rFonts w:ascii="宋体" w:hAnsi="宋体"/>
                <w:sz w:val="24"/>
                <w:szCs w:val="24"/>
              </w:rPr>
            </w:pPr>
            <w:r>
              <w:rPr>
                <w:rFonts w:hint="eastAsia" w:ascii="宋体" w:hAnsi="宋体"/>
                <w:sz w:val="24"/>
                <w:szCs w:val="24"/>
              </w:rPr>
              <w:t>（4分）</w:t>
            </w:r>
          </w:p>
        </w:tc>
        <w:tc>
          <w:tcPr>
            <w:tcW w:w="5103" w:type="dxa"/>
            <w:tcBorders>
              <w:top w:val="single" w:color="auto" w:sz="4" w:space="0"/>
              <w:left w:val="single" w:color="auto" w:sz="4" w:space="0"/>
              <w:bottom w:val="single" w:color="auto" w:sz="4" w:space="0"/>
            </w:tcBorders>
            <w:vAlign w:val="center"/>
          </w:tcPr>
          <w:p>
            <w:pPr>
              <w:adjustRightInd w:val="0"/>
              <w:snapToGrid w:val="0"/>
              <w:rPr>
                <w:sz w:val="24"/>
                <w:szCs w:val="24"/>
              </w:rPr>
            </w:pPr>
            <w:r>
              <w:rPr>
                <w:sz w:val="24"/>
                <w:szCs w:val="24"/>
              </w:rPr>
              <w:t>1</w:t>
            </w:r>
            <w:r>
              <w:rPr>
                <w:rFonts w:hint="eastAsia"/>
                <w:sz w:val="24"/>
                <w:szCs w:val="24"/>
              </w:rPr>
              <w:t>、投标人至今获得过“A级纳税人”称号，按连续次数由多到少排名，第1-2名得2分，第3-4名得1分，第5名及之后的得0.5分，没有的不得分。</w:t>
            </w:r>
          </w:p>
          <w:p>
            <w:pPr>
              <w:adjustRightInd w:val="0"/>
              <w:snapToGrid w:val="0"/>
              <w:rPr>
                <w:sz w:val="24"/>
                <w:szCs w:val="24"/>
              </w:rPr>
            </w:pPr>
            <w:r>
              <w:rPr>
                <w:sz w:val="24"/>
                <w:szCs w:val="24"/>
              </w:rPr>
              <w:t>2</w:t>
            </w:r>
            <w:r>
              <w:rPr>
                <w:rFonts w:hint="eastAsia"/>
                <w:sz w:val="24"/>
                <w:szCs w:val="24"/>
              </w:rPr>
              <w:t>、被评为“守合同重信用企业”的单位按获评连续年份的长短由高至低排名，第1-2名得2分，第3-4名得1分，第5名及之后的得0.5分，没有的不得分。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37" w:hRule="atLeast"/>
          <w:jc w:val="center"/>
        </w:trPr>
        <w:tc>
          <w:tcPr>
            <w:tcW w:w="960" w:type="dxa"/>
            <w:vMerge w:val="restart"/>
            <w:tcBorders>
              <w:top w:val="single" w:color="auto" w:sz="4" w:space="0"/>
              <w:right w:val="single" w:color="auto" w:sz="4" w:space="0"/>
            </w:tcBorders>
            <w:vAlign w:val="center"/>
          </w:tcPr>
          <w:p>
            <w:pPr>
              <w:spacing w:line="440" w:lineRule="exact"/>
              <w:jc w:val="center"/>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2</w:t>
            </w:r>
            <w:r>
              <w:rPr>
                <w:rFonts w:hint="eastAsia" w:ascii="宋体" w:hAnsi="宋体"/>
                <w:sz w:val="24"/>
                <w:szCs w:val="24"/>
              </w:rPr>
              <w:t>）</w:t>
            </w:r>
          </w:p>
        </w:tc>
        <w:tc>
          <w:tcPr>
            <w:tcW w:w="1142" w:type="dxa"/>
            <w:vMerge w:val="restart"/>
            <w:tcBorders>
              <w:top w:val="single" w:color="auto" w:sz="4" w:space="0"/>
              <w:right w:val="single" w:color="auto" w:sz="4" w:space="0"/>
            </w:tcBorders>
            <w:vAlign w:val="center"/>
          </w:tcPr>
          <w:p>
            <w:pPr>
              <w:spacing w:line="440" w:lineRule="exact"/>
              <w:rPr>
                <w:rFonts w:ascii="宋体" w:hAnsi="宋体"/>
                <w:sz w:val="24"/>
                <w:szCs w:val="24"/>
              </w:rPr>
            </w:pPr>
            <w:r>
              <w:rPr>
                <w:rFonts w:hint="eastAsia" w:ascii="宋体" w:hAnsi="宋体"/>
                <w:sz w:val="24"/>
                <w:szCs w:val="24"/>
              </w:rPr>
              <w:t>监理大纲评分标准（20分）</w:t>
            </w:r>
          </w:p>
        </w:tc>
        <w:tc>
          <w:tcPr>
            <w:tcW w:w="250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 w:val="24"/>
                <w:szCs w:val="24"/>
              </w:rPr>
            </w:pPr>
            <w:r>
              <w:rPr>
                <w:rFonts w:hint="eastAsia" w:ascii="宋体" w:hAnsi="宋体"/>
                <w:sz w:val="24"/>
                <w:szCs w:val="24"/>
              </w:rPr>
              <w:t>监理工作程序、方法和制度（2分）</w:t>
            </w:r>
          </w:p>
        </w:tc>
        <w:tc>
          <w:tcPr>
            <w:tcW w:w="5103" w:type="dxa"/>
            <w:tcBorders>
              <w:top w:val="single" w:color="auto" w:sz="4" w:space="0"/>
              <w:left w:val="single" w:color="auto" w:sz="4" w:space="0"/>
              <w:bottom w:val="single" w:color="auto" w:sz="4" w:space="0"/>
            </w:tcBorders>
            <w:vAlign w:val="center"/>
          </w:tcPr>
          <w:p>
            <w:pPr>
              <w:snapToGrid w:val="0"/>
              <w:rPr>
                <w:rFonts w:ascii="宋体" w:hAnsi="宋体"/>
                <w:sz w:val="24"/>
                <w:szCs w:val="24"/>
              </w:rPr>
            </w:pPr>
            <w:r>
              <w:rPr>
                <w:rFonts w:hint="eastAsia" w:ascii="宋体" w:hAnsi="宋体"/>
                <w:sz w:val="24"/>
                <w:szCs w:val="24"/>
              </w:rPr>
              <w:t>有清晰的工作流程图、工作准则。方案为优得2分；良得</w:t>
            </w:r>
            <w:r>
              <w:rPr>
                <w:rFonts w:ascii="宋体" w:hAnsi="宋体"/>
                <w:sz w:val="24"/>
                <w:szCs w:val="24"/>
              </w:rPr>
              <w:t>1</w:t>
            </w:r>
            <w:r>
              <w:rPr>
                <w:rFonts w:hint="eastAsia" w:ascii="宋体" w:hAnsi="宋体"/>
                <w:sz w:val="24"/>
                <w:szCs w:val="24"/>
              </w:rPr>
              <w:t>分；一般得</w:t>
            </w:r>
            <w:r>
              <w:rPr>
                <w:rFonts w:ascii="宋体" w:hAnsi="宋体"/>
                <w:sz w:val="24"/>
                <w:szCs w:val="24"/>
              </w:rPr>
              <w:t>0.5</w:t>
            </w:r>
            <w:r>
              <w:rPr>
                <w:rFonts w:hint="eastAsia" w:ascii="宋体" w:hAnsi="宋体"/>
                <w:sz w:val="24"/>
                <w:szCs w:val="24"/>
              </w:rPr>
              <w:t>分；差不得分；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555" w:hRule="atLeast"/>
          <w:jc w:val="center"/>
        </w:trPr>
        <w:tc>
          <w:tcPr>
            <w:tcW w:w="960" w:type="dxa"/>
            <w:vMerge w:val="continue"/>
            <w:tcBorders>
              <w:right w:val="single" w:color="auto" w:sz="4" w:space="0"/>
            </w:tcBorders>
          </w:tcPr>
          <w:p>
            <w:pPr>
              <w:spacing w:line="440" w:lineRule="exact"/>
              <w:jc w:val="center"/>
              <w:rPr>
                <w:rFonts w:ascii="宋体" w:hAnsi="宋体"/>
                <w:sz w:val="24"/>
                <w:szCs w:val="24"/>
              </w:rPr>
            </w:pPr>
          </w:p>
        </w:tc>
        <w:tc>
          <w:tcPr>
            <w:tcW w:w="1142" w:type="dxa"/>
            <w:vMerge w:val="continue"/>
            <w:tcBorders>
              <w:right w:val="single" w:color="auto" w:sz="4" w:space="0"/>
            </w:tcBorders>
          </w:tcPr>
          <w:p>
            <w:pPr>
              <w:spacing w:line="440" w:lineRule="exact"/>
              <w:jc w:val="center"/>
              <w:rPr>
                <w:rFonts w:ascii="宋体" w:hAnsi="宋体"/>
                <w:sz w:val="24"/>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 w:val="24"/>
                <w:szCs w:val="24"/>
              </w:rPr>
            </w:pPr>
            <w:r>
              <w:rPr>
                <w:rFonts w:hint="eastAsia" w:ascii="宋体" w:hAnsi="宋体"/>
                <w:sz w:val="24"/>
                <w:szCs w:val="24"/>
              </w:rPr>
              <w:t>质量、进度、造价、安全、环保监理措施（8分）</w:t>
            </w:r>
          </w:p>
        </w:tc>
        <w:tc>
          <w:tcPr>
            <w:tcW w:w="5103" w:type="dxa"/>
            <w:tcBorders>
              <w:top w:val="single" w:color="auto" w:sz="4" w:space="0"/>
              <w:left w:val="single" w:color="auto" w:sz="4" w:space="0"/>
              <w:bottom w:val="single" w:color="auto" w:sz="4" w:space="0"/>
            </w:tcBorders>
          </w:tcPr>
          <w:p>
            <w:pPr>
              <w:ind w:left="360" w:hanging="360" w:hangingChars="150"/>
              <w:rPr>
                <w:rFonts w:ascii="宋体" w:hAnsi="宋体"/>
                <w:sz w:val="24"/>
                <w:szCs w:val="24"/>
              </w:rPr>
            </w:pPr>
            <w:r>
              <w:rPr>
                <w:rFonts w:ascii="宋体" w:hAnsi="宋体"/>
                <w:sz w:val="24"/>
                <w:szCs w:val="24"/>
              </w:rPr>
              <w:t>1</w:t>
            </w:r>
            <w:r>
              <w:rPr>
                <w:rFonts w:hint="eastAsia" w:ascii="宋体" w:hAnsi="宋体"/>
                <w:sz w:val="24"/>
                <w:szCs w:val="24"/>
              </w:rPr>
              <w:t>、质量控制措施：要求目标明确、方法合理可行、措施具体、针对性强。方案为优得2分；良得</w:t>
            </w:r>
            <w:r>
              <w:rPr>
                <w:rFonts w:ascii="宋体" w:hAnsi="宋体"/>
                <w:sz w:val="24"/>
                <w:szCs w:val="24"/>
              </w:rPr>
              <w:t xml:space="preserve"> </w:t>
            </w:r>
            <w:r>
              <w:rPr>
                <w:rFonts w:hint="eastAsia" w:ascii="宋体" w:hAnsi="宋体"/>
                <w:sz w:val="24"/>
                <w:szCs w:val="24"/>
              </w:rPr>
              <w:t>1分；一般得0.5分；差不得分；</w:t>
            </w:r>
          </w:p>
          <w:p>
            <w:pPr>
              <w:ind w:left="360" w:hanging="360" w:hangingChars="150"/>
              <w:rPr>
                <w:rFonts w:ascii="宋体" w:hAnsi="宋体"/>
                <w:sz w:val="24"/>
                <w:szCs w:val="24"/>
              </w:rPr>
            </w:pPr>
            <w:r>
              <w:rPr>
                <w:rFonts w:ascii="宋体" w:hAnsi="宋体"/>
                <w:sz w:val="24"/>
                <w:szCs w:val="24"/>
              </w:rPr>
              <w:t>2</w:t>
            </w:r>
            <w:r>
              <w:rPr>
                <w:rFonts w:hint="eastAsia" w:ascii="宋体" w:hAnsi="宋体"/>
                <w:sz w:val="24"/>
                <w:szCs w:val="24"/>
              </w:rPr>
              <w:t>、进度控制措施：要求目标明确、方法合理可行、措施具体、针对性强。方案为优得2分；良得1分；一般得0.5分；差不得分；</w:t>
            </w:r>
          </w:p>
          <w:p>
            <w:pPr>
              <w:ind w:left="360" w:hanging="360" w:hangingChars="150"/>
              <w:rPr>
                <w:rFonts w:ascii="宋体" w:hAnsi="宋体"/>
                <w:sz w:val="24"/>
                <w:szCs w:val="24"/>
              </w:rPr>
            </w:pPr>
            <w:r>
              <w:rPr>
                <w:rFonts w:ascii="宋体" w:hAnsi="宋体"/>
                <w:sz w:val="24"/>
                <w:szCs w:val="24"/>
              </w:rPr>
              <w:t>3</w:t>
            </w:r>
            <w:r>
              <w:rPr>
                <w:rFonts w:hint="eastAsia" w:ascii="宋体" w:hAnsi="宋体"/>
                <w:sz w:val="24"/>
                <w:szCs w:val="24"/>
              </w:rPr>
              <w:t>、投资控制措施：要求目标明确、方法合理可行、措施具体、针对性强。方案为优得2分；良得</w:t>
            </w:r>
            <w:r>
              <w:rPr>
                <w:rFonts w:ascii="宋体" w:hAnsi="宋体"/>
                <w:sz w:val="24"/>
                <w:szCs w:val="24"/>
              </w:rPr>
              <w:t xml:space="preserve"> </w:t>
            </w:r>
            <w:r>
              <w:rPr>
                <w:rFonts w:hint="eastAsia" w:ascii="宋体" w:hAnsi="宋体"/>
                <w:sz w:val="24"/>
                <w:szCs w:val="24"/>
              </w:rPr>
              <w:t>1分；一般得0.5分；差不得分；</w:t>
            </w:r>
          </w:p>
          <w:p>
            <w:pPr>
              <w:snapToGrid w:val="0"/>
              <w:ind w:left="360" w:hanging="360" w:hangingChars="150"/>
              <w:rPr>
                <w:rFonts w:ascii="宋体" w:hAnsi="宋体"/>
                <w:sz w:val="24"/>
                <w:szCs w:val="24"/>
              </w:rPr>
            </w:pPr>
            <w:r>
              <w:rPr>
                <w:rFonts w:ascii="宋体" w:hAnsi="宋体"/>
                <w:sz w:val="24"/>
                <w:szCs w:val="24"/>
              </w:rPr>
              <w:t>4</w:t>
            </w:r>
            <w:r>
              <w:rPr>
                <w:rFonts w:hint="eastAsia" w:ascii="宋体" w:hAnsi="宋体"/>
                <w:sz w:val="24"/>
                <w:szCs w:val="24"/>
              </w:rPr>
              <w:t>、安全、文明施工管理：安全、文明施工管理方案为优得</w:t>
            </w:r>
            <w:r>
              <w:rPr>
                <w:rFonts w:ascii="宋体" w:hAnsi="宋体"/>
                <w:sz w:val="24"/>
                <w:szCs w:val="24"/>
              </w:rPr>
              <w:t>2</w:t>
            </w:r>
            <w:r>
              <w:rPr>
                <w:rFonts w:hint="eastAsia" w:ascii="宋体" w:hAnsi="宋体"/>
                <w:sz w:val="24"/>
                <w:szCs w:val="24"/>
              </w:rPr>
              <w:t>分；良得</w:t>
            </w:r>
            <w:r>
              <w:rPr>
                <w:rFonts w:ascii="宋体" w:hAnsi="宋体"/>
                <w:sz w:val="24"/>
                <w:szCs w:val="24"/>
              </w:rPr>
              <w:t xml:space="preserve"> 1</w:t>
            </w:r>
            <w:r>
              <w:rPr>
                <w:rFonts w:hint="eastAsia" w:ascii="宋体" w:hAnsi="宋体"/>
                <w:sz w:val="24"/>
                <w:szCs w:val="24"/>
              </w:rPr>
              <w:t>分；一般得</w:t>
            </w:r>
            <w:r>
              <w:rPr>
                <w:rFonts w:ascii="宋体" w:hAnsi="宋体"/>
                <w:sz w:val="24"/>
                <w:szCs w:val="24"/>
              </w:rPr>
              <w:t>0.5</w:t>
            </w:r>
            <w:r>
              <w:rPr>
                <w:rFonts w:hint="eastAsia" w:ascii="宋体" w:hAnsi="宋体"/>
                <w:sz w:val="24"/>
                <w:szCs w:val="24"/>
              </w:rPr>
              <w:t>分；差不得分。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68" w:hRule="atLeast"/>
          <w:jc w:val="center"/>
        </w:trPr>
        <w:tc>
          <w:tcPr>
            <w:tcW w:w="960" w:type="dxa"/>
            <w:vMerge w:val="continue"/>
            <w:tcBorders>
              <w:right w:val="single" w:color="auto" w:sz="4" w:space="0"/>
            </w:tcBorders>
          </w:tcPr>
          <w:p>
            <w:pPr>
              <w:spacing w:line="440" w:lineRule="exact"/>
              <w:jc w:val="center"/>
              <w:rPr>
                <w:rFonts w:ascii="宋体" w:hAnsi="宋体"/>
                <w:sz w:val="24"/>
                <w:szCs w:val="24"/>
              </w:rPr>
            </w:pPr>
          </w:p>
        </w:tc>
        <w:tc>
          <w:tcPr>
            <w:tcW w:w="1142" w:type="dxa"/>
            <w:vMerge w:val="continue"/>
            <w:tcBorders>
              <w:right w:val="single" w:color="auto" w:sz="4" w:space="0"/>
            </w:tcBorders>
          </w:tcPr>
          <w:p>
            <w:pPr>
              <w:spacing w:line="440" w:lineRule="exact"/>
              <w:jc w:val="center"/>
              <w:rPr>
                <w:rFonts w:ascii="宋体" w:hAnsi="宋体"/>
                <w:sz w:val="24"/>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合同、信息管理方案</w:t>
            </w:r>
          </w:p>
          <w:p>
            <w:pPr>
              <w:snapToGrid w:val="0"/>
              <w:jc w:val="center"/>
              <w:rPr>
                <w:rFonts w:ascii="宋体" w:hAnsi="宋体"/>
                <w:sz w:val="24"/>
                <w:szCs w:val="24"/>
              </w:rPr>
            </w:pPr>
            <w:r>
              <w:rPr>
                <w:rFonts w:hint="eastAsia" w:ascii="宋体" w:hAnsi="宋体"/>
                <w:sz w:val="24"/>
                <w:szCs w:val="24"/>
              </w:rPr>
              <w:t>（2分）</w:t>
            </w:r>
          </w:p>
        </w:tc>
        <w:tc>
          <w:tcPr>
            <w:tcW w:w="5103" w:type="dxa"/>
            <w:tcBorders>
              <w:top w:val="single" w:color="auto" w:sz="4" w:space="0"/>
              <w:left w:val="single" w:color="auto" w:sz="4" w:space="0"/>
              <w:bottom w:val="single" w:color="auto" w:sz="4" w:space="0"/>
            </w:tcBorders>
            <w:vAlign w:val="center"/>
          </w:tcPr>
          <w:p>
            <w:pPr>
              <w:rPr>
                <w:rFonts w:ascii="宋体" w:hAnsi="宋体"/>
                <w:sz w:val="24"/>
                <w:szCs w:val="24"/>
              </w:rPr>
            </w:pPr>
            <w:r>
              <w:rPr>
                <w:rFonts w:hint="eastAsia" w:ascii="宋体" w:hAnsi="宋体"/>
                <w:sz w:val="24"/>
                <w:szCs w:val="24"/>
              </w:rPr>
              <w:t>合同管理、信息管理方法针对性强、措施具体。方案为优得2分；良得</w:t>
            </w:r>
            <w:r>
              <w:rPr>
                <w:rFonts w:ascii="宋体" w:hAnsi="宋体"/>
                <w:sz w:val="24"/>
                <w:szCs w:val="24"/>
              </w:rPr>
              <w:t>1</w:t>
            </w:r>
            <w:r>
              <w:rPr>
                <w:rFonts w:hint="eastAsia" w:ascii="宋体" w:hAnsi="宋体"/>
                <w:sz w:val="24"/>
                <w:szCs w:val="24"/>
              </w:rPr>
              <w:t>分；一般得</w:t>
            </w:r>
            <w:r>
              <w:rPr>
                <w:rFonts w:ascii="宋体" w:hAnsi="宋体"/>
                <w:sz w:val="24"/>
                <w:szCs w:val="24"/>
              </w:rPr>
              <w:t>0.5</w:t>
            </w:r>
            <w:r>
              <w:rPr>
                <w:rFonts w:hint="eastAsia" w:ascii="宋体" w:hAnsi="宋体"/>
                <w:sz w:val="24"/>
                <w:szCs w:val="24"/>
              </w:rPr>
              <w:t>分；差不得分；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98" w:hRule="atLeast"/>
          <w:jc w:val="center"/>
        </w:trPr>
        <w:tc>
          <w:tcPr>
            <w:tcW w:w="960" w:type="dxa"/>
            <w:vMerge w:val="continue"/>
            <w:tcBorders>
              <w:right w:val="single" w:color="auto" w:sz="4" w:space="0"/>
            </w:tcBorders>
          </w:tcPr>
          <w:p>
            <w:pPr>
              <w:spacing w:line="440" w:lineRule="exact"/>
              <w:jc w:val="center"/>
              <w:rPr>
                <w:rFonts w:ascii="宋体" w:hAnsi="宋体"/>
                <w:sz w:val="24"/>
                <w:szCs w:val="24"/>
              </w:rPr>
            </w:pPr>
          </w:p>
        </w:tc>
        <w:tc>
          <w:tcPr>
            <w:tcW w:w="1142" w:type="dxa"/>
            <w:vMerge w:val="continue"/>
            <w:tcBorders>
              <w:right w:val="single" w:color="auto" w:sz="4" w:space="0"/>
            </w:tcBorders>
          </w:tcPr>
          <w:p>
            <w:pPr>
              <w:spacing w:line="440" w:lineRule="exact"/>
              <w:jc w:val="center"/>
              <w:rPr>
                <w:rFonts w:ascii="宋体" w:hAnsi="宋体"/>
                <w:sz w:val="24"/>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监理组织协调内容及措施（2分）</w:t>
            </w:r>
          </w:p>
        </w:tc>
        <w:tc>
          <w:tcPr>
            <w:tcW w:w="5103" w:type="dxa"/>
            <w:tcBorders>
              <w:top w:val="single" w:color="auto" w:sz="4" w:space="0"/>
              <w:left w:val="single" w:color="auto" w:sz="4" w:space="0"/>
              <w:bottom w:val="single" w:color="auto" w:sz="4" w:space="0"/>
            </w:tcBorders>
            <w:vAlign w:val="center"/>
          </w:tcPr>
          <w:p>
            <w:pPr>
              <w:rPr>
                <w:rFonts w:ascii="宋体" w:hAnsi="宋体"/>
                <w:sz w:val="24"/>
                <w:szCs w:val="24"/>
              </w:rPr>
            </w:pPr>
            <w:r>
              <w:rPr>
                <w:rFonts w:hint="eastAsia" w:ascii="宋体" w:hAnsi="宋体"/>
                <w:sz w:val="24"/>
                <w:szCs w:val="24"/>
              </w:rPr>
              <w:t>协调方法清晰合理，有具体措施。方案为优得2分；良得</w:t>
            </w:r>
            <w:r>
              <w:rPr>
                <w:rFonts w:ascii="宋体" w:hAnsi="宋体"/>
                <w:sz w:val="24"/>
                <w:szCs w:val="24"/>
              </w:rPr>
              <w:t>1</w:t>
            </w:r>
            <w:r>
              <w:rPr>
                <w:rFonts w:hint="eastAsia" w:ascii="宋体" w:hAnsi="宋体"/>
                <w:sz w:val="24"/>
                <w:szCs w:val="24"/>
              </w:rPr>
              <w:t>分；一般得</w:t>
            </w:r>
            <w:r>
              <w:rPr>
                <w:rFonts w:ascii="宋体" w:hAnsi="宋体"/>
                <w:sz w:val="24"/>
                <w:szCs w:val="24"/>
              </w:rPr>
              <w:t>0.5</w:t>
            </w:r>
            <w:r>
              <w:rPr>
                <w:rFonts w:hint="eastAsia" w:ascii="宋体" w:hAnsi="宋体"/>
                <w:sz w:val="24"/>
                <w:szCs w:val="24"/>
              </w:rPr>
              <w:t>分；差不得分；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94" w:hRule="atLeast"/>
          <w:jc w:val="center"/>
        </w:trPr>
        <w:tc>
          <w:tcPr>
            <w:tcW w:w="960" w:type="dxa"/>
            <w:vMerge w:val="continue"/>
            <w:tcBorders>
              <w:right w:val="single" w:color="auto" w:sz="4" w:space="0"/>
            </w:tcBorders>
          </w:tcPr>
          <w:p>
            <w:pPr>
              <w:spacing w:line="440" w:lineRule="exact"/>
              <w:jc w:val="center"/>
              <w:rPr>
                <w:rFonts w:ascii="宋体" w:hAnsi="宋体"/>
                <w:sz w:val="24"/>
                <w:szCs w:val="24"/>
              </w:rPr>
            </w:pPr>
          </w:p>
        </w:tc>
        <w:tc>
          <w:tcPr>
            <w:tcW w:w="1142" w:type="dxa"/>
            <w:vMerge w:val="continue"/>
            <w:tcBorders>
              <w:right w:val="single" w:color="auto" w:sz="4" w:space="0"/>
            </w:tcBorders>
          </w:tcPr>
          <w:p>
            <w:pPr>
              <w:spacing w:line="440" w:lineRule="exact"/>
              <w:jc w:val="center"/>
              <w:rPr>
                <w:rFonts w:ascii="宋体" w:hAnsi="宋体"/>
                <w:sz w:val="24"/>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监理工作重点、难点分析（3分）</w:t>
            </w:r>
          </w:p>
        </w:tc>
        <w:tc>
          <w:tcPr>
            <w:tcW w:w="5103" w:type="dxa"/>
            <w:tcBorders>
              <w:top w:val="single" w:color="auto" w:sz="4" w:space="0"/>
              <w:left w:val="single" w:color="auto" w:sz="4" w:space="0"/>
              <w:bottom w:val="single" w:color="auto" w:sz="4" w:space="0"/>
            </w:tcBorders>
            <w:vAlign w:val="center"/>
          </w:tcPr>
          <w:p>
            <w:pPr>
              <w:rPr>
                <w:rFonts w:ascii="宋体" w:hAnsi="宋体"/>
                <w:sz w:val="24"/>
                <w:szCs w:val="24"/>
              </w:rPr>
            </w:pPr>
            <w:r>
              <w:rPr>
                <w:rFonts w:hint="eastAsia" w:ascii="宋体" w:hAnsi="宋体"/>
                <w:sz w:val="24"/>
                <w:szCs w:val="24"/>
              </w:rPr>
              <w:t>要求针对性强、措施具体、可操作。方案为优得3分；良得2分；一般得1分；差不得分；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04" w:hRule="atLeast"/>
          <w:jc w:val="center"/>
        </w:trPr>
        <w:tc>
          <w:tcPr>
            <w:tcW w:w="960" w:type="dxa"/>
            <w:vMerge w:val="continue"/>
            <w:tcBorders>
              <w:right w:val="single" w:color="auto" w:sz="4" w:space="0"/>
            </w:tcBorders>
          </w:tcPr>
          <w:p>
            <w:pPr>
              <w:spacing w:line="440" w:lineRule="exact"/>
              <w:jc w:val="center"/>
              <w:rPr>
                <w:rFonts w:ascii="宋体" w:hAnsi="宋体"/>
                <w:sz w:val="24"/>
                <w:szCs w:val="24"/>
              </w:rPr>
            </w:pPr>
          </w:p>
        </w:tc>
        <w:tc>
          <w:tcPr>
            <w:tcW w:w="1142" w:type="dxa"/>
            <w:vMerge w:val="continue"/>
            <w:tcBorders>
              <w:right w:val="single" w:color="auto" w:sz="4" w:space="0"/>
            </w:tcBorders>
          </w:tcPr>
          <w:p>
            <w:pPr>
              <w:spacing w:line="440" w:lineRule="exact"/>
              <w:jc w:val="center"/>
              <w:rPr>
                <w:rFonts w:ascii="宋体" w:hAnsi="宋体"/>
                <w:sz w:val="24"/>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工程进度款、工程结算的管理（2分）</w:t>
            </w:r>
          </w:p>
        </w:tc>
        <w:tc>
          <w:tcPr>
            <w:tcW w:w="5103" w:type="dxa"/>
            <w:tcBorders>
              <w:top w:val="single" w:color="auto" w:sz="4" w:space="0"/>
              <w:left w:val="single" w:color="auto" w:sz="4" w:space="0"/>
              <w:bottom w:val="single" w:color="auto" w:sz="4" w:space="0"/>
            </w:tcBorders>
            <w:vAlign w:val="center"/>
          </w:tcPr>
          <w:p>
            <w:pPr>
              <w:rPr>
                <w:rFonts w:ascii="宋体" w:hAnsi="宋体"/>
                <w:sz w:val="24"/>
                <w:szCs w:val="24"/>
              </w:rPr>
            </w:pPr>
            <w:r>
              <w:rPr>
                <w:rFonts w:hint="eastAsia" w:ascii="宋体" w:hAnsi="宋体"/>
                <w:sz w:val="24"/>
                <w:szCs w:val="24"/>
              </w:rPr>
              <w:t>管理方法合理有效、有具体措施，方案为优得2分；良得</w:t>
            </w:r>
            <w:r>
              <w:rPr>
                <w:rFonts w:ascii="宋体" w:hAnsi="宋体"/>
                <w:sz w:val="24"/>
                <w:szCs w:val="24"/>
              </w:rPr>
              <w:t>1</w:t>
            </w:r>
            <w:r>
              <w:rPr>
                <w:rFonts w:hint="eastAsia" w:ascii="宋体" w:hAnsi="宋体"/>
                <w:sz w:val="24"/>
                <w:szCs w:val="24"/>
              </w:rPr>
              <w:t>分；一般得</w:t>
            </w:r>
            <w:r>
              <w:rPr>
                <w:rFonts w:ascii="宋体" w:hAnsi="宋体"/>
                <w:sz w:val="24"/>
                <w:szCs w:val="24"/>
              </w:rPr>
              <w:t>0.5</w:t>
            </w:r>
            <w:r>
              <w:rPr>
                <w:rFonts w:hint="eastAsia" w:ascii="宋体" w:hAnsi="宋体"/>
                <w:sz w:val="24"/>
                <w:szCs w:val="24"/>
              </w:rPr>
              <w:t>分；差不得分；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04" w:hRule="atLeast"/>
          <w:jc w:val="center"/>
        </w:trPr>
        <w:tc>
          <w:tcPr>
            <w:tcW w:w="960" w:type="dxa"/>
            <w:vMerge w:val="continue"/>
            <w:tcBorders>
              <w:right w:val="single" w:color="auto" w:sz="4" w:space="0"/>
            </w:tcBorders>
          </w:tcPr>
          <w:p>
            <w:pPr>
              <w:spacing w:line="440" w:lineRule="exact"/>
              <w:jc w:val="center"/>
              <w:rPr>
                <w:rFonts w:ascii="宋体" w:hAnsi="宋体"/>
                <w:sz w:val="24"/>
                <w:szCs w:val="24"/>
              </w:rPr>
            </w:pPr>
          </w:p>
        </w:tc>
        <w:tc>
          <w:tcPr>
            <w:tcW w:w="1142" w:type="dxa"/>
            <w:vMerge w:val="continue"/>
            <w:tcBorders>
              <w:right w:val="single" w:color="auto" w:sz="4" w:space="0"/>
            </w:tcBorders>
          </w:tcPr>
          <w:p>
            <w:pPr>
              <w:spacing w:line="440" w:lineRule="exact"/>
              <w:jc w:val="center"/>
              <w:rPr>
                <w:rFonts w:ascii="宋体" w:hAnsi="宋体"/>
                <w:sz w:val="24"/>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会议制度（1分）</w:t>
            </w:r>
          </w:p>
        </w:tc>
        <w:tc>
          <w:tcPr>
            <w:tcW w:w="5103" w:type="dxa"/>
            <w:tcBorders>
              <w:top w:val="single" w:color="auto" w:sz="4" w:space="0"/>
              <w:left w:val="single" w:color="auto" w:sz="4" w:space="0"/>
              <w:bottom w:val="single" w:color="auto" w:sz="4" w:space="0"/>
            </w:tcBorders>
            <w:vAlign w:val="center"/>
          </w:tcPr>
          <w:p>
            <w:pPr>
              <w:rPr>
                <w:rFonts w:ascii="宋体" w:hAnsi="宋体"/>
                <w:sz w:val="24"/>
                <w:szCs w:val="24"/>
              </w:rPr>
            </w:pPr>
            <w:r>
              <w:rPr>
                <w:rFonts w:hint="eastAsia" w:ascii="宋体" w:hAnsi="宋体"/>
                <w:sz w:val="24"/>
                <w:szCs w:val="24"/>
              </w:rPr>
              <w:t>建立完善的工地会议制度，满足要求，有得1分；没有不得分；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555" w:hRule="atLeast"/>
          <w:jc w:val="center"/>
        </w:trPr>
        <w:tc>
          <w:tcPr>
            <w:tcW w:w="960" w:type="dxa"/>
            <w:tcBorders>
              <w:top w:val="single" w:color="auto" w:sz="4" w:space="0"/>
              <w:bottom w:val="single" w:color="auto" w:sz="4" w:space="0"/>
              <w:right w:val="single" w:color="auto" w:sz="4" w:space="0"/>
            </w:tcBorders>
            <w:vAlign w:val="center"/>
          </w:tcPr>
          <w:p>
            <w:pPr>
              <w:spacing w:line="440" w:lineRule="exact"/>
              <w:jc w:val="center"/>
              <w:rPr>
                <w:rFonts w:ascii="宋体" w:hAnsi="宋体"/>
                <w:color w:val="0000FF"/>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3</w:t>
            </w:r>
            <w:r>
              <w:rPr>
                <w:rFonts w:hint="eastAsia" w:ascii="宋体" w:hAnsi="宋体"/>
                <w:sz w:val="24"/>
                <w:szCs w:val="24"/>
              </w:rPr>
              <w:t>）</w:t>
            </w:r>
          </w:p>
        </w:tc>
        <w:tc>
          <w:tcPr>
            <w:tcW w:w="1142" w:type="dxa"/>
            <w:tcBorders>
              <w:top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投标报价评分标准</w:t>
            </w:r>
            <w:r>
              <w:rPr>
                <w:rFonts w:ascii="宋体" w:hAnsi="宋体"/>
                <w:sz w:val="24"/>
                <w:szCs w:val="24"/>
              </w:rPr>
              <w:t>(</w:t>
            </w:r>
            <w:r>
              <w:rPr>
                <w:rFonts w:hint="eastAsia" w:ascii="宋体" w:hAnsi="宋体"/>
                <w:sz w:val="24"/>
                <w:szCs w:val="24"/>
              </w:rPr>
              <w:t>5</w:t>
            </w:r>
            <w:r>
              <w:rPr>
                <w:rFonts w:ascii="宋体" w:hAnsi="宋体"/>
                <w:sz w:val="24"/>
                <w:szCs w:val="24"/>
              </w:rPr>
              <w:t>0</w:t>
            </w:r>
            <w:r>
              <w:rPr>
                <w:rFonts w:hint="eastAsia" w:ascii="宋体" w:hAnsi="宋体"/>
                <w:sz w:val="24"/>
                <w:szCs w:val="24"/>
              </w:rPr>
              <w:t>分</w:t>
            </w:r>
            <w:r>
              <w:rPr>
                <w:rFonts w:ascii="宋体" w:hAnsi="宋体"/>
                <w:sz w:val="24"/>
                <w:szCs w:val="24"/>
              </w:rPr>
              <w:t>)</w:t>
            </w:r>
          </w:p>
        </w:tc>
        <w:tc>
          <w:tcPr>
            <w:tcW w:w="2506" w:type="dxa"/>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szCs w:val="24"/>
              </w:rPr>
            </w:pPr>
            <w:r>
              <w:rPr>
                <w:rFonts w:hint="eastAsia" w:ascii="宋体" w:hAnsi="宋体"/>
                <w:sz w:val="24"/>
                <w:szCs w:val="24"/>
              </w:rPr>
              <w:t>报价得分</w:t>
            </w:r>
          </w:p>
        </w:tc>
        <w:tc>
          <w:tcPr>
            <w:tcW w:w="5103" w:type="dxa"/>
            <w:tcBorders>
              <w:top w:val="single" w:color="auto" w:sz="4" w:space="0"/>
              <w:left w:val="single" w:color="auto" w:sz="4" w:space="0"/>
              <w:bottom w:val="single" w:color="auto" w:sz="4" w:space="0"/>
            </w:tcBorders>
          </w:tcPr>
          <w:p>
            <w:pPr>
              <w:rPr>
                <w:rFonts w:ascii="宋体" w:hAnsi="宋体"/>
                <w:sz w:val="24"/>
                <w:szCs w:val="24"/>
              </w:rPr>
            </w:pPr>
            <w:r>
              <w:rPr>
                <w:rFonts w:hint="eastAsia" w:ascii="宋体" w:hAnsi="宋体"/>
                <w:sz w:val="24"/>
                <w:szCs w:val="24"/>
              </w:rPr>
              <w:t>监理报价以竞争性报价形式的，监理报价得分以评选基准价作为计算各有效投标人报价得分的基础，当投标报价等于评选基准价时得5</w:t>
            </w:r>
            <w:r>
              <w:rPr>
                <w:rFonts w:ascii="宋体" w:hAnsi="宋体"/>
                <w:sz w:val="24"/>
                <w:szCs w:val="24"/>
              </w:rPr>
              <w:t>0</w:t>
            </w:r>
            <w:r>
              <w:rPr>
                <w:rFonts w:hint="eastAsia" w:ascii="宋体" w:hAnsi="宋体"/>
                <w:sz w:val="24"/>
                <w:szCs w:val="24"/>
              </w:rPr>
              <w:t>分；投标投价与评选基准价相比，每上偏</w:t>
            </w:r>
            <w:r>
              <w:rPr>
                <w:rFonts w:ascii="宋体" w:hAnsi="宋体"/>
                <w:sz w:val="24"/>
                <w:szCs w:val="24"/>
              </w:rPr>
              <w:t>1%</w:t>
            </w:r>
            <w:r>
              <w:rPr>
                <w:rFonts w:hint="eastAsia" w:ascii="宋体" w:hAnsi="宋体"/>
                <w:sz w:val="24"/>
                <w:szCs w:val="24"/>
              </w:rPr>
              <w:t>扣1分，每下偏</w:t>
            </w:r>
            <w:r>
              <w:rPr>
                <w:rFonts w:ascii="宋体" w:hAnsi="宋体"/>
                <w:sz w:val="24"/>
                <w:szCs w:val="24"/>
              </w:rPr>
              <w:t>1%</w:t>
            </w:r>
            <w:r>
              <w:rPr>
                <w:rFonts w:hint="eastAsia" w:ascii="宋体" w:hAnsi="宋体"/>
                <w:sz w:val="24"/>
                <w:szCs w:val="24"/>
              </w:rPr>
              <w:t>扣0.5分。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555" w:hRule="atLeast"/>
          <w:jc w:val="center"/>
        </w:trPr>
        <w:tc>
          <w:tcPr>
            <w:tcW w:w="960" w:type="dxa"/>
            <w:tcBorders>
              <w:top w:val="single" w:color="auto" w:sz="4" w:space="0"/>
              <w:bottom w:val="single" w:color="auto" w:sz="4" w:space="0"/>
              <w:right w:val="single" w:color="auto" w:sz="4" w:space="0"/>
            </w:tcBorders>
            <w:vAlign w:val="center"/>
          </w:tcPr>
          <w:p>
            <w:pPr>
              <w:spacing w:line="440" w:lineRule="exact"/>
              <w:jc w:val="center"/>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4</w:t>
            </w:r>
            <w:r>
              <w:rPr>
                <w:rFonts w:hint="eastAsia" w:ascii="宋体" w:hAnsi="宋体"/>
                <w:sz w:val="24"/>
                <w:szCs w:val="24"/>
              </w:rPr>
              <w:t>）</w:t>
            </w:r>
          </w:p>
        </w:tc>
        <w:tc>
          <w:tcPr>
            <w:tcW w:w="1142" w:type="dxa"/>
            <w:tcBorders>
              <w:top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其他因素评分标准</w:t>
            </w:r>
          </w:p>
          <w:p>
            <w:pPr>
              <w:snapToGrid w:val="0"/>
              <w:jc w:val="center"/>
              <w:rPr>
                <w:rFonts w:ascii="宋体" w:hAnsi="宋体"/>
                <w:sz w:val="24"/>
                <w:szCs w:val="24"/>
              </w:rPr>
            </w:pPr>
            <w:r>
              <w:rPr>
                <w:rFonts w:hint="eastAsia" w:ascii="宋体" w:hAnsi="宋体"/>
                <w:sz w:val="24"/>
                <w:szCs w:val="24"/>
              </w:rPr>
              <w:t>（1</w:t>
            </w:r>
            <w:r>
              <w:rPr>
                <w:rFonts w:ascii="宋体" w:hAnsi="宋体"/>
                <w:sz w:val="24"/>
                <w:szCs w:val="24"/>
              </w:rPr>
              <w:t>0</w:t>
            </w:r>
            <w:r>
              <w:rPr>
                <w:rFonts w:hint="eastAsia" w:ascii="宋体" w:hAnsi="宋体"/>
                <w:sz w:val="24"/>
                <w:szCs w:val="24"/>
              </w:rPr>
              <w:t>分）</w:t>
            </w:r>
          </w:p>
        </w:tc>
        <w:tc>
          <w:tcPr>
            <w:tcW w:w="250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诚信综合评价得分</w:t>
            </w:r>
          </w:p>
        </w:tc>
        <w:tc>
          <w:tcPr>
            <w:tcW w:w="5103" w:type="dxa"/>
            <w:tcBorders>
              <w:top w:val="single" w:color="auto" w:sz="4" w:space="0"/>
              <w:left w:val="single" w:color="auto" w:sz="4" w:space="0"/>
              <w:bottom w:val="single" w:color="auto" w:sz="4" w:space="0"/>
            </w:tcBorders>
          </w:tcPr>
          <w:p>
            <w:pPr>
              <w:snapToGrid w:val="0"/>
              <w:rPr>
                <w:rFonts w:ascii="宋体" w:hAnsi="宋体"/>
                <w:sz w:val="24"/>
                <w:szCs w:val="24"/>
              </w:rPr>
            </w:pPr>
            <w:r>
              <w:rPr>
                <w:rFonts w:hint="eastAsia" w:ascii="宋体" w:hAnsi="宋体"/>
                <w:sz w:val="24"/>
                <w:szCs w:val="24"/>
              </w:rPr>
              <w:t>投标人诚信得分=诚信综合评价排名得分×10%。企业的诚信综合评价排名得分以投标截止当日广州市工程招标代理行业协会诚信综合评价业务信息系统上公布的企业60日诚信分为准。企业诚信综合评价排名以监理企业—房建为准。</w:t>
            </w:r>
          </w:p>
        </w:tc>
      </w:tr>
    </w:tbl>
    <w:p>
      <w:pPr>
        <w:rPr>
          <w:szCs w:val="21"/>
        </w:rPr>
      </w:pPr>
      <w:r>
        <w:rPr>
          <w:rFonts w:hint="eastAsia"/>
          <w:szCs w:val="21"/>
        </w:rPr>
        <w:t>说明：</w:t>
      </w:r>
    </w:p>
    <w:p>
      <w:pPr>
        <w:numPr>
          <w:ilvl w:val="0"/>
          <w:numId w:val="2"/>
        </w:numPr>
        <w:tabs>
          <w:tab w:val="left" w:pos="540"/>
        </w:tabs>
        <w:snapToGrid w:val="0"/>
        <w:spacing w:line="360" w:lineRule="auto"/>
        <w:ind w:left="540" w:hanging="540"/>
        <w:rPr>
          <w:szCs w:val="21"/>
        </w:rPr>
      </w:pPr>
      <w:r>
        <w:rPr>
          <w:rFonts w:hint="eastAsia"/>
          <w:szCs w:val="21"/>
        </w:rPr>
        <w:t>类似工程：是指招选公告中第9条第</w:t>
      </w:r>
      <w:r>
        <w:rPr>
          <w:szCs w:val="21"/>
        </w:rPr>
        <w:t>3</w:t>
      </w:r>
      <w:r>
        <w:rPr>
          <w:rFonts w:hint="eastAsia"/>
          <w:szCs w:val="21"/>
        </w:rPr>
        <w:t>点所述资质方能承接的房屋建筑工程，需同时提供中标通知书或相关证明、施工监理合同、竣工验收报告或竣工验收证明，业绩时间以竣工验收报告或竣工验收证明出具时间为准。</w:t>
      </w:r>
    </w:p>
    <w:p>
      <w:pPr>
        <w:numPr>
          <w:ilvl w:val="0"/>
          <w:numId w:val="2"/>
        </w:numPr>
        <w:tabs>
          <w:tab w:val="left" w:pos="540"/>
        </w:tabs>
        <w:snapToGrid w:val="0"/>
        <w:spacing w:line="360" w:lineRule="auto"/>
        <w:ind w:left="540" w:hanging="540"/>
        <w:rPr>
          <w:szCs w:val="21"/>
        </w:rPr>
      </w:pPr>
      <w:r>
        <w:rPr>
          <w:rFonts w:hint="eastAsia"/>
          <w:szCs w:val="21"/>
        </w:rPr>
        <w:t>获奖业绩：①国家级奖项指中国土木工程詹天佑奖、中国建设工程鲁班奖、国家优质工程奖、国家优质工程金质奖等工程质量奖；省级或市级奖项指省级或市级建设主管部门或行业协会颁发的工程质量奖，其中行业协会须在民政部门备案。②需提供获奖证书扫描件，获奖时间以获奖证书发证日期为准。③对同一工程项目按最高奖项计取，不重复计算。</w:t>
      </w:r>
    </w:p>
    <w:p>
      <w:pPr>
        <w:numPr>
          <w:ilvl w:val="0"/>
          <w:numId w:val="2"/>
        </w:numPr>
        <w:tabs>
          <w:tab w:val="left" w:pos="540"/>
        </w:tabs>
        <w:snapToGrid w:val="0"/>
        <w:spacing w:line="360" w:lineRule="auto"/>
        <w:ind w:left="540" w:hanging="540"/>
        <w:rPr>
          <w:szCs w:val="21"/>
        </w:rPr>
      </w:pPr>
      <w:r>
        <w:rPr>
          <w:rFonts w:hint="eastAsia"/>
          <w:szCs w:val="21"/>
        </w:rPr>
        <w:t>A级纳税人：投标人须同时提供证书扫描件以及国家税务总局官网“</w:t>
      </w:r>
      <w:r>
        <w:rPr>
          <w:rFonts w:hint="eastAsia"/>
          <w:spacing w:val="1"/>
          <w:szCs w:val="21"/>
        </w:rPr>
        <w:t>纳税信用A级</w:t>
      </w:r>
      <w:r>
        <w:rPr>
          <w:rFonts w:hint="eastAsia"/>
          <w:szCs w:val="21"/>
        </w:rPr>
        <w:t>”查询网页信息截图（http://www.chinatax.gov.cn/index.html）。纳税人登记只计算投标人自身（不计算投标人的分公司和子公司）。不符合条件或无提交证书或网页截图的不计分。时间以评价年度为准。若名次排列出现并列，有几家企业并列则取消并列名次以后的几个名次，下一名次将跳跃排列。即若有两名投标人并列第一，则下一名次按第三名档次得分。</w:t>
      </w:r>
    </w:p>
    <w:p>
      <w:pPr>
        <w:numPr>
          <w:ilvl w:val="0"/>
          <w:numId w:val="2"/>
        </w:numPr>
        <w:tabs>
          <w:tab w:val="left" w:pos="540"/>
        </w:tabs>
        <w:snapToGrid w:val="0"/>
        <w:spacing w:line="360" w:lineRule="auto"/>
        <w:ind w:left="540" w:hanging="540"/>
        <w:rPr>
          <w:rFonts w:hint="eastAsia"/>
          <w:sz w:val="18"/>
          <w:szCs w:val="18"/>
        </w:rPr>
      </w:pPr>
      <w:r>
        <w:rPr>
          <w:rFonts w:hint="eastAsia"/>
          <w:szCs w:val="21"/>
        </w:rPr>
        <w:t>“守合同重信用”证书以工商（市场）监督部门或由工商（市场）监督部门主管的行业协会颁发的为准，行业协会须在民政管理部门登记备案，需提供证书扫描件，其他证明文件不得分。若名次排列出现并列，有几家企业并列则取消并列名次以后的几个名次，下一名次将跳跃排列。即若有两名投标人并列第一，则下一名次按第三名档次得分。</w:t>
      </w:r>
    </w:p>
    <w:p>
      <w:pPr>
        <w:numPr>
          <w:ilvl w:val="0"/>
          <w:numId w:val="2"/>
        </w:numPr>
        <w:tabs>
          <w:tab w:val="left" w:pos="540"/>
        </w:tabs>
        <w:snapToGrid w:val="0"/>
        <w:spacing w:line="360" w:lineRule="auto"/>
        <w:ind w:left="540" w:hanging="540"/>
        <w:rPr>
          <w:sz w:val="18"/>
          <w:szCs w:val="18"/>
        </w:rPr>
      </w:pPr>
      <w:r>
        <w:rPr>
          <w:rFonts w:hint="eastAsia"/>
          <w:szCs w:val="21"/>
        </w:rPr>
        <w:t>投标人的综合得分为将各评委的评分去掉一个最高分和去掉一个最低分后取算术平均分（分数出现小数点时，保留小数点后二位，第三位小数四舍五入）。</w:t>
      </w:r>
    </w:p>
    <w:bookmarkEnd w:id="81"/>
    <w:bookmarkEnd w:id="117"/>
    <w:p>
      <w:pPr>
        <w:pStyle w:val="60"/>
        <w:rPr>
          <w:rFonts w:ascii="宋体" w:hAnsi="宋体"/>
        </w:rPr>
      </w:pPr>
    </w:p>
    <w:sectPr>
      <w:pgSz w:w="11906" w:h="16838"/>
      <w:pgMar w:top="1474" w:right="1588"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5"/>
      </w:rPr>
    </w:pPr>
    <w:r>
      <w:fldChar w:fldCharType="begin"/>
    </w:r>
    <w:r>
      <w:rPr>
        <w:rStyle w:val="45"/>
      </w:rPr>
      <w:instrText xml:space="preserve">PAGE  </w:instrText>
    </w:r>
    <w:r>
      <w:fldChar w:fldCharType="separate"/>
    </w:r>
    <w:r>
      <w:rPr>
        <w:rStyle w:val="45"/>
      </w:rPr>
      <w:t>2</w:t>
    </w:r>
    <w:r>
      <w:fldChar w:fldCharType="end"/>
    </w:r>
  </w:p>
  <w:p>
    <w:pPr>
      <w:pStyle w:val="26"/>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5"/>
      </w:rPr>
    </w:pPr>
    <w:r>
      <w:fldChar w:fldCharType="begin"/>
    </w:r>
    <w:r>
      <w:rPr>
        <w:rStyle w:val="45"/>
      </w:rPr>
      <w:instrText xml:space="preserve">PAGE  </w:instrText>
    </w:r>
    <w:r>
      <w:fldChar w:fldCharType="separate"/>
    </w:r>
    <w:r>
      <w:rPr>
        <w:rStyle w:val="45"/>
      </w:rPr>
      <w:t>52</w:t>
    </w:r>
    <w:r>
      <w:fldChar w:fldCharType="end"/>
    </w:r>
  </w:p>
  <w:p>
    <w:pPr>
      <w:pStyle w:val="2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Align="top"/>
    </w:pPr>
    <w:r>
      <w:fldChar w:fldCharType="begin"/>
    </w:r>
    <w:r>
      <w:rPr>
        <w:rStyle w:val="45"/>
      </w:rPr>
      <w:instrText xml:space="preserve"> PAGE  </w:instrText>
    </w:r>
    <w:r>
      <w:fldChar w:fldCharType="separate"/>
    </w:r>
    <w:r>
      <w:rPr>
        <w:rStyle w:val="45"/>
      </w:rPr>
      <w:t>52</w:t>
    </w:r>
    <w:r>
      <w:fldChar w:fldCharType="end"/>
    </w:r>
  </w:p>
  <w:p>
    <w:pPr>
      <w:pStyle w:val="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5"/>
      </w:rPr>
    </w:pPr>
    <w:r>
      <w:fldChar w:fldCharType="begin"/>
    </w:r>
    <w:r>
      <w:rPr>
        <w:rStyle w:val="45"/>
      </w:rPr>
      <w:instrText xml:space="preserve">PAGE  </w:instrText>
    </w:r>
    <w:r>
      <w:fldChar w:fldCharType="separate"/>
    </w:r>
    <w:r>
      <w:rPr>
        <w:rStyle w:val="45"/>
      </w:rPr>
      <w:t>31</w:t>
    </w:r>
    <w: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楷体_GB23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tabs>
          <w:tab w:val="left" w:pos="862"/>
        </w:tabs>
        <w:ind w:left="862" w:hanging="720"/>
      </w:pPr>
      <w:rPr>
        <w:rFonts w:cs="Times New Roman"/>
      </w:rPr>
    </w:lvl>
    <w:lvl w:ilvl="1" w:tentative="0">
      <w:start w:val="1"/>
      <w:numFmt w:val="lowerLetter"/>
      <w:lvlText w:val="%2)"/>
      <w:lvlJc w:val="left"/>
      <w:pPr>
        <w:tabs>
          <w:tab w:val="left" w:pos="982"/>
        </w:tabs>
        <w:ind w:left="982" w:hanging="420"/>
      </w:pPr>
      <w:rPr>
        <w:rFonts w:cs="Times New Roman"/>
      </w:rPr>
    </w:lvl>
    <w:lvl w:ilvl="2" w:tentative="0">
      <w:start w:val="1"/>
      <w:numFmt w:val="lowerRoman"/>
      <w:lvlText w:val="%3."/>
      <w:lvlJc w:val="right"/>
      <w:pPr>
        <w:tabs>
          <w:tab w:val="left" w:pos="1402"/>
        </w:tabs>
        <w:ind w:left="1402" w:hanging="420"/>
      </w:pPr>
      <w:rPr>
        <w:rFonts w:cs="Times New Roman"/>
      </w:rPr>
    </w:lvl>
    <w:lvl w:ilvl="3" w:tentative="0">
      <w:start w:val="1"/>
      <w:numFmt w:val="decimal"/>
      <w:lvlText w:val="%4."/>
      <w:lvlJc w:val="left"/>
      <w:pPr>
        <w:tabs>
          <w:tab w:val="left" w:pos="1822"/>
        </w:tabs>
        <w:ind w:left="1822" w:hanging="420"/>
      </w:pPr>
      <w:rPr>
        <w:rFonts w:cs="Times New Roman"/>
      </w:rPr>
    </w:lvl>
    <w:lvl w:ilvl="4" w:tentative="0">
      <w:start w:val="1"/>
      <w:numFmt w:val="lowerLetter"/>
      <w:lvlText w:val="%5)"/>
      <w:lvlJc w:val="left"/>
      <w:pPr>
        <w:tabs>
          <w:tab w:val="left" w:pos="2242"/>
        </w:tabs>
        <w:ind w:left="2242" w:hanging="420"/>
      </w:pPr>
      <w:rPr>
        <w:rFonts w:cs="Times New Roman"/>
      </w:rPr>
    </w:lvl>
    <w:lvl w:ilvl="5" w:tentative="0">
      <w:start w:val="1"/>
      <w:numFmt w:val="lowerRoman"/>
      <w:lvlText w:val="%6."/>
      <w:lvlJc w:val="right"/>
      <w:pPr>
        <w:tabs>
          <w:tab w:val="left" w:pos="2662"/>
        </w:tabs>
        <w:ind w:left="2662" w:hanging="420"/>
      </w:pPr>
      <w:rPr>
        <w:rFonts w:cs="Times New Roman"/>
      </w:rPr>
    </w:lvl>
    <w:lvl w:ilvl="6" w:tentative="0">
      <w:start w:val="1"/>
      <w:numFmt w:val="decimal"/>
      <w:lvlText w:val="%7."/>
      <w:lvlJc w:val="left"/>
      <w:pPr>
        <w:tabs>
          <w:tab w:val="left" w:pos="3082"/>
        </w:tabs>
        <w:ind w:left="3082" w:hanging="420"/>
      </w:pPr>
      <w:rPr>
        <w:rFonts w:cs="Times New Roman"/>
      </w:rPr>
    </w:lvl>
    <w:lvl w:ilvl="7" w:tentative="0">
      <w:start w:val="1"/>
      <w:numFmt w:val="lowerLetter"/>
      <w:lvlText w:val="%8)"/>
      <w:lvlJc w:val="left"/>
      <w:pPr>
        <w:tabs>
          <w:tab w:val="left" w:pos="3502"/>
        </w:tabs>
        <w:ind w:left="3502" w:hanging="420"/>
      </w:pPr>
      <w:rPr>
        <w:rFonts w:cs="Times New Roman"/>
      </w:rPr>
    </w:lvl>
    <w:lvl w:ilvl="8" w:tentative="0">
      <w:start w:val="1"/>
      <w:numFmt w:val="lowerRoman"/>
      <w:lvlText w:val="%9."/>
      <w:lvlJc w:val="right"/>
      <w:pPr>
        <w:tabs>
          <w:tab w:val="left" w:pos="3922"/>
        </w:tabs>
        <w:ind w:left="3922" w:hanging="420"/>
      </w:pPr>
      <w:rPr>
        <w:rFonts w:cs="Times New Roman"/>
      </w:rPr>
    </w:lvl>
  </w:abstractNum>
  <w:abstractNum w:abstractNumId="1">
    <w:nsid w:val="0000000D"/>
    <w:multiLevelType w:val="singleLevel"/>
    <w:tmpl w:val="0000000D"/>
    <w:lvl w:ilvl="0" w:tentative="0">
      <w:start w:val="1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jZDg3ZGEzNTU3YTkxNmM4MGFiYjQ0ZDRiZmM4OGEifQ=="/>
  </w:docVars>
  <w:rsids>
    <w:rsidRoot w:val="00172A27"/>
    <w:rsid w:val="00014951"/>
    <w:rsid w:val="00026010"/>
    <w:rsid w:val="00047B02"/>
    <w:rsid w:val="0005633C"/>
    <w:rsid w:val="00056FB0"/>
    <w:rsid w:val="000663D5"/>
    <w:rsid w:val="00081C96"/>
    <w:rsid w:val="0008559F"/>
    <w:rsid w:val="000946E2"/>
    <w:rsid w:val="000C0317"/>
    <w:rsid w:val="000C15B9"/>
    <w:rsid w:val="000D095D"/>
    <w:rsid w:val="000D7933"/>
    <w:rsid w:val="000E4C8C"/>
    <w:rsid w:val="0013326D"/>
    <w:rsid w:val="00136210"/>
    <w:rsid w:val="001472D3"/>
    <w:rsid w:val="00150DB9"/>
    <w:rsid w:val="0016388A"/>
    <w:rsid w:val="001663F6"/>
    <w:rsid w:val="001667E4"/>
    <w:rsid w:val="00172A27"/>
    <w:rsid w:val="001743DD"/>
    <w:rsid w:val="00181F7A"/>
    <w:rsid w:val="00187520"/>
    <w:rsid w:val="001A1914"/>
    <w:rsid w:val="001A52F3"/>
    <w:rsid w:val="001D3348"/>
    <w:rsid w:val="001D4848"/>
    <w:rsid w:val="001D4C42"/>
    <w:rsid w:val="001D57AE"/>
    <w:rsid w:val="001D5E5A"/>
    <w:rsid w:val="001E4B57"/>
    <w:rsid w:val="00214887"/>
    <w:rsid w:val="002343A7"/>
    <w:rsid w:val="002400CB"/>
    <w:rsid w:val="00250DB1"/>
    <w:rsid w:val="00274408"/>
    <w:rsid w:val="0027550F"/>
    <w:rsid w:val="002B5917"/>
    <w:rsid w:val="002C674E"/>
    <w:rsid w:val="002E03A3"/>
    <w:rsid w:val="00332245"/>
    <w:rsid w:val="00333A83"/>
    <w:rsid w:val="00353A66"/>
    <w:rsid w:val="00367AB1"/>
    <w:rsid w:val="00373B60"/>
    <w:rsid w:val="00390DE9"/>
    <w:rsid w:val="003939F1"/>
    <w:rsid w:val="003A489C"/>
    <w:rsid w:val="003A7BFE"/>
    <w:rsid w:val="003F14F9"/>
    <w:rsid w:val="00401AC9"/>
    <w:rsid w:val="004070E2"/>
    <w:rsid w:val="00421920"/>
    <w:rsid w:val="004426F9"/>
    <w:rsid w:val="004467CC"/>
    <w:rsid w:val="0045265E"/>
    <w:rsid w:val="004678A6"/>
    <w:rsid w:val="004706E0"/>
    <w:rsid w:val="0048654A"/>
    <w:rsid w:val="004B4744"/>
    <w:rsid w:val="004D3BA5"/>
    <w:rsid w:val="004D6C21"/>
    <w:rsid w:val="004F5B3F"/>
    <w:rsid w:val="005107B3"/>
    <w:rsid w:val="00525ACB"/>
    <w:rsid w:val="005344C4"/>
    <w:rsid w:val="005363A0"/>
    <w:rsid w:val="005470FF"/>
    <w:rsid w:val="0055186A"/>
    <w:rsid w:val="00563E8A"/>
    <w:rsid w:val="005715E6"/>
    <w:rsid w:val="00595D78"/>
    <w:rsid w:val="00595E1A"/>
    <w:rsid w:val="005B395B"/>
    <w:rsid w:val="005B3AC9"/>
    <w:rsid w:val="005D4707"/>
    <w:rsid w:val="005D72B8"/>
    <w:rsid w:val="005E1CD6"/>
    <w:rsid w:val="005E2466"/>
    <w:rsid w:val="005E25C7"/>
    <w:rsid w:val="005E3F69"/>
    <w:rsid w:val="005E4846"/>
    <w:rsid w:val="005E5F78"/>
    <w:rsid w:val="00604A96"/>
    <w:rsid w:val="00607CAD"/>
    <w:rsid w:val="00625378"/>
    <w:rsid w:val="00681D68"/>
    <w:rsid w:val="00686F21"/>
    <w:rsid w:val="006B18EC"/>
    <w:rsid w:val="006C0312"/>
    <w:rsid w:val="006C4F0B"/>
    <w:rsid w:val="006C719C"/>
    <w:rsid w:val="006D20A3"/>
    <w:rsid w:val="006D2DBD"/>
    <w:rsid w:val="00723841"/>
    <w:rsid w:val="0075581C"/>
    <w:rsid w:val="00757768"/>
    <w:rsid w:val="0077638A"/>
    <w:rsid w:val="00791D74"/>
    <w:rsid w:val="00792543"/>
    <w:rsid w:val="007A308F"/>
    <w:rsid w:val="007A573E"/>
    <w:rsid w:val="007C28CD"/>
    <w:rsid w:val="007E2F2C"/>
    <w:rsid w:val="007F28C0"/>
    <w:rsid w:val="00817171"/>
    <w:rsid w:val="0083256D"/>
    <w:rsid w:val="00841DB8"/>
    <w:rsid w:val="00850FAC"/>
    <w:rsid w:val="00870B8B"/>
    <w:rsid w:val="00896ECB"/>
    <w:rsid w:val="008B0604"/>
    <w:rsid w:val="008C6BD7"/>
    <w:rsid w:val="008D5D1F"/>
    <w:rsid w:val="00910B11"/>
    <w:rsid w:val="009222F1"/>
    <w:rsid w:val="009275EA"/>
    <w:rsid w:val="00930B3C"/>
    <w:rsid w:val="00930E2A"/>
    <w:rsid w:val="0093387D"/>
    <w:rsid w:val="0093466E"/>
    <w:rsid w:val="0093531D"/>
    <w:rsid w:val="009402EB"/>
    <w:rsid w:val="00943C6C"/>
    <w:rsid w:val="00954929"/>
    <w:rsid w:val="009574D0"/>
    <w:rsid w:val="00962402"/>
    <w:rsid w:val="009678AF"/>
    <w:rsid w:val="00972EA9"/>
    <w:rsid w:val="00985AB8"/>
    <w:rsid w:val="0098723B"/>
    <w:rsid w:val="0099726A"/>
    <w:rsid w:val="009A1A90"/>
    <w:rsid w:val="009A499A"/>
    <w:rsid w:val="009A632C"/>
    <w:rsid w:val="009D26A9"/>
    <w:rsid w:val="009F2C9E"/>
    <w:rsid w:val="00A02215"/>
    <w:rsid w:val="00A34860"/>
    <w:rsid w:val="00A55A97"/>
    <w:rsid w:val="00A665E5"/>
    <w:rsid w:val="00A679E0"/>
    <w:rsid w:val="00A719E7"/>
    <w:rsid w:val="00AA5231"/>
    <w:rsid w:val="00AB6D97"/>
    <w:rsid w:val="00AC6EBE"/>
    <w:rsid w:val="00AE4AD5"/>
    <w:rsid w:val="00AE648F"/>
    <w:rsid w:val="00B04473"/>
    <w:rsid w:val="00B050A7"/>
    <w:rsid w:val="00B05E2F"/>
    <w:rsid w:val="00B26AC7"/>
    <w:rsid w:val="00B30405"/>
    <w:rsid w:val="00B33773"/>
    <w:rsid w:val="00B376F2"/>
    <w:rsid w:val="00B4445B"/>
    <w:rsid w:val="00B70A53"/>
    <w:rsid w:val="00B71E0E"/>
    <w:rsid w:val="00B8081E"/>
    <w:rsid w:val="00B81E69"/>
    <w:rsid w:val="00BB105B"/>
    <w:rsid w:val="00BB2BB9"/>
    <w:rsid w:val="00BB6C80"/>
    <w:rsid w:val="00BB7E8D"/>
    <w:rsid w:val="00BD30DF"/>
    <w:rsid w:val="00BE6D36"/>
    <w:rsid w:val="00BF1CA0"/>
    <w:rsid w:val="00C12D5D"/>
    <w:rsid w:val="00C20652"/>
    <w:rsid w:val="00C20F8A"/>
    <w:rsid w:val="00C25D01"/>
    <w:rsid w:val="00C309F1"/>
    <w:rsid w:val="00C46618"/>
    <w:rsid w:val="00C52A23"/>
    <w:rsid w:val="00C57034"/>
    <w:rsid w:val="00C70752"/>
    <w:rsid w:val="00C85CD6"/>
    <w:rsid w:val="00CA0FE1"/>
    <w:rsid w:val="00CA6969"/>
    <w:rsid w:val="00CD6F3F"/>
    <w:rsid w:val="00CD7688"/>
    <w:rsid w:val="00CF2520"/>
    <w:rsid w:val="00CF6CF6"/>
    <w:rsid w:val="00D022C9"/>
    <w:rsid w:val="00D0292A"/>
    <w:rsid w:val="00D065A6"/>
    <w:rsid w:val="00D122A8"/>
    <w:rsid w:val="00D21C0A"/>
    <w:rsid w:val="00D33C78"/>
    <w:rsid w:val="00D525E1"/>
    <w:rsid w:val="00D65A1A"/>
    <w:rsid w:val="00D97607"/>
    <w:rsid w:val="00DA389B"/>
    <w:rsid w:val="00DB5922"/>
    <w:rsid w:val="00DD1D2F"/>
    <w:rsid w:val="00DE0A9F"/>
    <w:rsid w:val="00E15F99"/>
    <w:rsid w:val="00E20420"/>
    <w:rsid w:val="00E2259D"/>
    <w:rsid w:val="00E73767"/>
    <w:rsid w:val="00E9104F"/>
    <w:rsid w:val="00E93925"/>
    <w:rsid w:val="00EB4B77"/>
    <w:rsid w:val="00ED34C3"/>
    <w:rsid w:val="00F02F69"/>
    <w:rsid w:val="00F3346B"/>
    <w:rsid w:val="00F36F7E"/>
    <w:rsid w:val="00F5510D"/>
    <w:rsid w:val="00F61D00"/>
    <w:rsid w:val="00F66995"/>
    <w:rsid w:val="00F86323"/>
    <w:rsid w:val="00FA44EF"/>
    <w:rsid w:val="00FB3944"/>
    <w:rsid w:val="00FF2533"/>
    <w:rsid w:val="012418E2"/>
    <w:rsid w:val="016D33CD"/>
    <w:rsid w:val="017B0395"/>
    <w:rsid w:val="02FF06AC"/>
    <w:rsid w:val="032558E8"/>
    <w:rsid w:val="03307D56"/>
    <w:rsid w:val="034737F4"/>
    <w:rsid w:val="03735CDD"/>
    <w:rsid w:val="03DF6365"/>
    <w:rsid w:val="03EB5011"/>
    <w:rsid w:val="03F3520B"/>
    <w:rsid w:val="056701DB"/>
    <w:rsid w:val="056A5A23"/>
    <w:rsid w:val="059E24A5"/>
    <w:rsid w:val="05A5340F"/>
    <w:rsid w:val="05DE72EF"/>
    <w:rsid w:val="06324750"/>
    <w:rsid w:val="0663031E"/>
    <w:rsid w:val="0677539E"/>
    <w:rsid w:val="068D6C8D"/>
    <w:rsid w:val="07241F51"/>
    <w:rsid w:val="07693132"/>
    <w:rsid w:val="07D56DE9"/>
    <w:rsid w:val="083B1DC8"/>
    <w:rsid w:val="089130E3"/>
    <w:rsid w:val="08F14A3B"/>
    <w:rsid w:val="09241AB0"/>
    <w:rsid w:val="0A2B681B"/>
    <w:rsid w:val="0A6D26B2"/>
    <w:rsid w:val="0B325872"/>
    <w:rsid w:val="0B331C53"/>
    <w:rsid w:val="0B534F17"/>
    <w:rsid w:val="0B7328DB"/>
    <w:rsid w:val="0B811A39"/>
    <w:rsid w:val="0B847753"/>
    <w:rsid w:val="0BA12C16"/>
    <w:rsid w:val="0BEE606F"/>
    <w:rsid w:val="0D004E41"/>
    <w:rsid w:val="0D800907"/>
    <w:rsid w:val="0D9E22B7"/>
    <w:rsid w:val="0DBA284A"/>
    <w:rsid w:val="0DE90498"/>
    <w:rsid w:val="0EE02237"/>
    <w:rsid w:val="0F347D9E"/>
    <w:rsid w:val="0F785632"/>
    <w:rsid w:val="109652A4"/>
    <w:rsid w:val="109A36A9"/>
    <w:rsid w:val="10BB4FBD"/>
    <w:rsid w:val="10C2100A"/>
    <w:rsid w:val="10D94AE2"/>
    <w:rsid w:val="11087CE2"/>
    <w:rsid w:val="119264F9"/>
    <w:rsid w:val="11B84798"/>
    <w:rsid w:val="11E558D5"/>
    <w:rsid w:val="124A477D"/>
    <w:rsid w:val="125E73F6"/>
    <w:rsid w:val="12DD0D60"/>
    <w:rsid w:val="12FD0B83"/>
    <w:rsid w:val="1310437E"/>
    <w:rsid w:val="1315548F"/>
    <w:rsid w:val="131E2FC4"/>
    <w:rsid w:val="1324238C"/>
    <w:rsid w:val="133474E6"/>
    <w:rsid w:val="13FA75F2"/>
    <w:rsid w:val="14D16D81"/>
    <w:rsid w:val="14D27BE6"/>
    <w:rsid w:val="151D0F5C"/>
    <w:rsid w:val="15375C2F"/>
    <w:rsid w:val="1569198D"/>
    <w:rsid w:val="15F514B2"/>
    <w:rsid w:val="16510E8C"/>
    <w:rsid w:val="16583AA8"/>
    <w:rsid w:val="16B908C7"/>
    <w:rsid w:val="16C46472"/>
    <w:rsid w:val="17594EFC"/>
    <w:rsid w:val="17891B3E"/>
    <w:rsid w:val="18641A32"/>
    <w:rsid w:val="189B6E6F"/>
    <w:rsid w:val="18D24D83"/>
    <w:rsid w:val="18FF3755"/>
    <w:rsid w:val="194D255B"/>
    <w:rsid w:val="1A525539"/>
    <w:rsid w:val="1A526D82"/>
    <w:rsid w:val="1A571BAC"/>
    <w:rsid w:val="1A5A335C"/>
    <w:rsid w:val="1A8376A5"/>
    <w:rsid w:val="1AFE447C"/>
    <w:rsid w:val="1B8600F3"/>
    <w:rsid w:val="1BE3682B"/>
    <w:rsid w:val="1BE5268F"/>
    <w:rsid w:val="1C0325B4"/>
    <w:rsid w:val="1C0F7484"/>
    <w:rsid w:val="1C2E14D2"/>
    <w:rsid w:val="1CAA135C"/>
    <w:rsid w:val="1CE84FEA"/>
    <w:rsid w:val="1D13100D"/>
    <w:rsid w:val="1D2A2A08"/>
    <w:rsid w:val="1D5E7D79"/>
    <w:rsid w:val="1D980513"/>
    <w:rsid w:val="1D990EE0"/>
    <w:rsid w:val="1DB12102"/>
    <w:rsid w:val="1DB8712F"/>
    <w:rsid w:val="1E5F6921"/>
    <w:rsid w:val="1EE87661"/>
    <w:rsid w:val="1F376231"/>
    <w:rsid w:val="1FB06ACE"/>
    <w:rsid w:val="1FF6312D"/>
    <w:rsid w:val="1FF97843"/>
    <w:rsid w:val="204D09F1"/>
    <w:rsid w:val="21034CBC"/>
    <w:rsid w:val="212B474E"/>
    <w:rsid w:val="228D6AF2"/>
    <w:rsid w:val="22A2312B"/>
    <w:rsid w:val="22CA18E4"/>
    <w:rsid w:val="23043D4F"/>
    <w:rsid w:val="230704BF"/>
    <w:rsid w:val="238C11A3"/>
    <w:rsid w:val="23A80897"/>
    <w:rsid w:val="247E116A"/>
    <w:rsid w:val="24C741FB"/>
    <w:rsid w:val="25567F64"/>
    <w:rsid w:val="2563116D"/>
    <w:rsid w:val="26362690"/>
    <w:rsid w:val="265F3582"/>
    <w:rsid w:val="268737F1"/>
    <w:rsid w:val="2687468E"/>
    <w:rsid w:val="269006A8"/>
    <w:rsid w:val="269110A6"/>
    <w:rsid w:val="28683DF8"/>
    <w:rsid w:val="28E61BEC"/>
    <w:rsid w:val="292113C2"/>
    <w:rsid w:val="299D548F"/>
    <w:rsid w:val="2A0103FE"/>
    <w:rsid w:val="2A130A4E"/>
    <w:rsid w:val="2A166B38"/>
    <w:rsid w:val="2A7F5A2A"/>
    <w:rsid w:val="2B561D4D"/>
    <w:rsid w:val="2B7A3ABC"/>
    <w:rsid w:val="2B87199A"/>
    <w:rsid w:val="2BB75382"/>
    <w:rsid w:val="2BB91DEB"/>
    <w:rsid w:val="2C1551CB"/>
    <w:rsid w:val="2C1F3F1D"/>
    <w:rsid w:val="2DA97EFE"/>
    <w:rsid w:val="2E7D37DF"/>
    <w:rsid w:val="2EA426AD"/>
    <w:rsid w:val="2EDA01FE"/>
    <w:rsid w:val="2F0D408E"/>
    <w:rsid w:val="2F307F2E"/>
    <w:rsid w:val="2FBD7986"/>
    <w:rsid w:val="2FDC197A"/>
    <w:rsid w:val="30190870"/>
    <w:rsid w:val="306E30CE"/>
    <w:rsid w:val="30914EF3"/>
    <w:rsid w:val="30CE604D"/>
    <w:rsid w:val="30DF797F"/>
    <w:rsid w:val="30F036BE"/>
    <w:rsid w:val="30F1241E"/>
    <w:rsid w:val="311F292E"/>
    <w:rsid w:val="31B0586E"/>
    <w:rsid w:val="328B085D"/>
    <w:rsid w:val="32F706CE"/>
    <w:rsid w:val="33442ACF"/>
    <w:rsid w:val="33742968"/>
    <w:rsid w:val="33F7582F"/>
    <w:rsid w:val="341B08B2"/>
    <w:rsid w:val="34553777"/>
    <w:rsid w:val="35123722"/>
    <w:rsid w:val="35343516"/>
    <w:rsid w:val="359B6582"/>
    <w:rsid w:val="35B65F5E"/>
    <w:rsid w:val="35E0777B"/>
    <w:rsid w:val="35EB359E"/>
    <w:rsid w:val="35EB7289"/>
    <w:rsid w:val="36052A94"/>
    <w:rsid w:val="36084DFA"/>
    <w:rsid w:val="365D14C5"/>
    <w:rsid w:val="36757E92"/>
    <w:rsid w:val="374B57E8"/>
    <w:rsid w:val="378B7C6C"/>
    <w:rsid w:val="37CA3C76"/>
    <w:rsid w:val="380410DE"/>
    <w:rsid w:val="38C31F8D"/>
    <w:rsid w:val="39435C46"/>
    <w:rsid w:val="39565336"/>
    <w:rsid w:val="39B97A72"/>
    <w:rsid w:val="39D83F8E"/>
    <w:rsid w:val="39F83B1F"/>
    <w:rsid w:val="3A237218"/>
    <w:rsid w:val="3A3304B7"/>
    <w:rsid w:val="3A617D3D"/>
    <w:rsid w:val="3B253C19"/>
    <w:rsid w:val="3B2772ED"/>
    <w:rsid w:val="3B737E2C"/>
    <w:rsid w:val="3B7F7A08"/>
    <w:rsid w:val="3BAF5BBA"/>
    <w:rsid w:val="3BF92470"/>
    <w:rsid w:val="3C1601B7"/>
    <w:rsid w:val="3C221947"/>
    <w:rsid w:val="3C2A2433"/>
    <w:rsid w:val="3D1355AE"/>
    <w:rsid w:val="3D147F16"/>
    <w:rsid w:val="3D343961"/>
    <w:rsid w:val="3DF04C0F"/>
    <w:rsid w:val="3E147F41"/>
    <w:rsid w:val="3E207073"/>
    <w:rsid w:val="3E2128AC"/>
    <w:rsid w:val="3E2879F5"/>
    <w:rsid w:val="3E820478"/>
    <w:rsid w:val="3EDC61B9"/>
    <w:rsid w:val="3F392DD2"/>
    <w:rsid w:val="3F8F046C"/>
    <w:rsid w:val="3FA52C54"/>
    <w:rsid w:val="3FCE1BAE"/>
    <w:rsid w:val="3FED6D0D"/>
    <w:rsid w:val="3FEE46C2"/>
    <w:rsid w:val="40047261"/>
    <w:rsid w:val="409E2C1E"/>
    <w:rsid w:val="40E3416A"/>
    <w:rsid w:val="40FD6B69"/>
    <w:rsid w:val="413C5007"/>
    <w:rsid w:val="416144B5"/>
    <w:rsid w:val="4181775D"/>
    <w:rsid w:val="42944E64"/>
    <w:rsid w:val="42DE098C"/>
    <w:rsid w:val="4300607E"/>
    <w:rsid w:val="439677C8"/>
    <w:rsid w:val="43D11A72"/>
    <w:rsid w:val="43E22CCF"/>
    <w:rsid w:val="44212FD4"/>
    <w:rsid w:val="44462CB2"/>
    <w:rsid w:val="44545D9D"/>
    <w:rsid w:val="44D84608"/>
    <w:rsid w:val="451533A5"/>
    <w:rsid w:val="452013CC"/>
    <w:rsid w:val="457A58C3"/>
    <w:rsid w:val="45822DC8"/>
    <w:rsid w:val="45A23F46"/>
    <w:rsid w:val="45F9576D"/>
    <w:rsid w:val="45FF3972"/>
    <w:rsid w:val="4628169D"/>
    <w:rsid w:val="46BF1E8B"/>
    <w:rsid w:val="46C001F7"/>
    <w:rsid w:val="47F60FC8"/>
    <w:rsid w:val="496C344D"/>
    <w:rsid w:val="4B851CB7"/>
    <w:rsid w:val="4B8A4E49"/>
    <w:rsid w:val="4BCE4871"/>
    <w:rsid w:val="4BD5296D"/>
    <w:rsid w:val="4BDE4A2F"/>
    <w:rsid w:val="4BEF29B9"/>
    <w:rsid w:val="4C0A0AE2"/>
    <w:rsid w:val="4CCD39B8"/>
    <w:rsid w:val="4CD83678"/>
    <w:rsid w:val="4CEA34E1"/>
    <w:rsid w:val="4CFB29A2"/>
    <w:rsid w:val="4D1506E1"/>
    <w:rsid w:val="4D895513"/>
    <w:rsid w:val="4DE12CB6"/>
    <w:rsid w:val="4E3202D9"/>
    <w:rsid w:val="4E8B2CD2"/>
    <w:rsid w:val="4E8E272F"/>
    <w:rsid w:val="4EF46D4B"/>
    <w:rsid w:val="4EFF3F52"/>
    <w:rsid w:val="4F024A22"/>
    <w:rsid w:val="4FC82293"/>
    <w:rsid w:val="50186104"/>
    <w:rsid w:val="50372DF5"/>
    <w:rsid w:val="506937AE"/>
    <w:rsid w:val="50A2043D"/>
    <w:rsid w:val="50C61221"/>
    <w:rsid w:val="511B3C73"/>
    <w:rsid w:val="51550DD4"/>
    <w:rsid w:val="519D68E3"/>
    <w:rsid w:val="51F53BE0"/>
    <w:rsid w:val="52205ED5"/>
    <w:rsid w:val="522820C7"/>
    <w:rsid w:val="52293B56"/>
    <w:rsid w:val="52573CE5"/>
    <w:rsid w:val="52DE4460"/>
    <w:rsid w:val="52E01560"/>
    <w:rsid w:val="52EA2CCD"/>
    <w:rsid w:val="53415E06"/>
    <w:rsid w:val="53B6398E"/>
    <w:rsid w:val="53E033B0"/>
    <w:rsid w:val="53FB172B"/>
    <w:rsid w:val="540C41F6"/>
    <w:rsid w:val="54FC5253"/>
    <w:rsid w:val="550E6023"/>
    <w:rsid w:val="55A23EC9"/>
    <w:rsid w:val="567972D8"/>
    <w:rsid w:val="56846C58"/>
    <w:rsid w:val="57CE0A1F"/>
    <w:rsid w:val="57E52A72"/>
    <w:rsid w:val="57EC3907"/>
    <w:rsid w:val="58A16CCE"/>
    <w:rsid w:val="58A53031"/>
    <w:rsid w:val="58C4683F"/>
    <w:rsid w:val="590F5A97"/>
    <w:rsid w:val="59250492"/>
    <w:rsid w:val="59A8557C"/>
    <w:rsid w:val="59DE5AB7"/>
    <w:rsid w:val="5A112878"/>
    <w:rsid w:val="5ABA00A9"/>
    <w:rsid w:val="5AE05775"/>
    <w:rsid w:val="5B0808C6"/>
    <w:rsid w:val="5BCD3A4F"/>
    <w:rsid w:val="5BF1121E"/>
    <w:rsid w:val="5C854537"/>
    <w:rsid w:val="5C917B91"/>
    <w:rsid w:val="5CD61F59"/>
    <w:rsid w:val="5CEB6E02"/>
    <w:rsid w:val="5D201E7D"/>
    <w:rsid w:val="5DFA6F69"/>
    <w:rsid w:val="5E0A3892"/>
    <w:rsid w:val="5E555BB4"/>
    <w:rsid w:val="5E985B2C"/>
    <w:rsid w:val="5EDD335A"/>
    <w:rsid w:val="5EE04F2B"/>
    <w:rsid w:val="5F7C0747"/>
    <w:rsid w:val="5FCC2569"/>
    <w:rsid w:val="5FE37FC1"/>
    <w:rsid w:val="604F1A69"/>
    <w:rsid w:val="607036F7"/>
    <w:rsid w:val="61432F2D"/>
    <w:rsid w:val="614A1EF0"/>
    <w:rsid w:val="617F2EE2"/>
    <w:rsid w:val="61835064"/>
    <w:rsid w:val="62A231C9"/>
    <w:rsid w:val="62D21F15"/>
    <w:rsid w:val="63821B02"/>
    <w:rsid w:val="63831B51"/>
    <w:rsid w:val="63AF25CF"/>
    <w:rsid w:val="63DD029F"/>
    <w:rsid w:val="63E50A46"/>
    <w:rsid w:val="64615EAF"/>
    <w:rsid w:val="649F4D7E"/>
    <w:rsid w:val="6514540C"/>
    <w:rsid w:val="658305D8"/>
    <w:rsid w:val="658E5C08"/>
    <w:rsid w:val="663F6A6C"/>
    <w:rsid w:val="665029F2"/>
    <w:rsid w:val="676A6EA8"/>
    <w:rsid w:val="677C6890"/>
    <w:rsid w:val="6917632B"/>
    <w:rsid w:val="69806204"/>
    <w:rsid w:val="699B17E2"/>
    <w:rsid w:val="699F46EC"/>
    <w:rsid w:val="69CB1118"/>
    <w:rsid w:val="6A534DF0"/>
    <w:rsid w:val="6A926E5C"/>
    <w:rsid w:val="6B344D8C"/>
    <w:rsid w:val="6B963B09"/>
    <w:rsid w:val="6BB255E7"/>
    <w:rsid w:val="6BBC6839"/>
    <w:rsid w:val="6C446FA4"/>
    <w:rsid w:val="6C515E11"/>
    <w:rsid w:val="6C8B1828"/>
    <w:rsid w:val="6CA94A8F"/>
    <w:rsid w:val="6CC347FF"/>
    <w:rsid w:val="6CD0419E"/>
    <w:rsid w:val="6D060AAD"/>
    <w:rsid w:val="6D2848A6"/>
    <w:rsid w:val="6E201E8D"/>
    <w:rsid w:val="6E8A3581"/>
    <w:rsid w:val="6E8B38E6"/>
    <w:rsid w:val="6E956B59"/>
    <w:rsid w:val="6F5F111D"/>
    <w:rsid w:val="6F602D95"/>
    <w:rsid w:val="70017026"/>
    <w:rsid w:val="703C5E44"/>
    <w:rsid w:val="70803112"/>
    <w:rsid w:val="70C76346"/>
    <w:rsid w:val="70C83676"/>
    <w:rsid w:val="70E44E7C"/>
    <w:rsid w:val="71232300"/>
    <w:rsid w:val="71F03495"/>
    <w:rsid w:val="72D1663C"/>
    <w:rsid w:val="736D27C9"/>
    <w:rsid w:val="7492535F"/>
    <w:rsid w:val="74B85E36"/>
    <w:rsid w:val="750A1475"/>
    <w:rsid w:val="752F31F0"/>
    <w:rsid w:val="755B5AB5"/>
    <w:rsid w:val="76804B93"/>
    <w:rsid w:val="768F519D"/>
    <w:rsid w:val="76BC6C5D"/>
    <w:rsid w:val="76CA54F7"/>
    <w:rsid w:val="76EA41D5"/>
    <w:rsid w:val="773F5FB4"/>
    <w:rsid w:val="77452ED8"/>
    <w:rsid w:val="778D0380"/>
    <w:rsid w:val="77921535"/>
    <w:rsid w:val="77DE56F9"/>
    <w:rsid w:val="781361C1"/>
    <w:rsid w:val="781373CC"/>
    <w:rsid w:val="788F58A0"/>
    <w:rsid w:val="78A87098"/>
    <w:rsid w:val="78B6394E"/>
    <w:rsid w:val="78F25CD6"/>
    <w:rsid w:val="79344C49"/>
    <w:rsid w:val="796E4121"/>
    <w:rsid w:val="798452BA"/>
    <w:rsid w:val="79EA3F00"/>
    <w:rsid w:val="79F64928"/>
    <w:rsid w:val="7A5C7EA9"/>
    <w:rsid w:val="7A875F31"/>
    <w:rsid w:val="7A9F76BD"/>
    <w:rsid w:val="7ABA3DE6"/>
    <w:rsid w:val="7B1E7EA7"/>
    <w:rsid w:val="7B7B0B1E"/>
    <w:rsid w:val="7B9D4C83"/>
    <w:rsid w:val="7BCE3BCF"/>
    <w:rsid w:val="7C112180"/>
    <w:rsid w:val="7C683615"/>
    <w:rsid w:val="7C7411DA"/>
    <w:rsid w:val="7C8D5E84"/>
    <w:rsid w:val="7CD052DB"/>
    <w:rsid w:val="7CEE68CB"/>
    <w:rsid w:val="7D16047D"/>
    <w:rsid w:val="7D185B42"/>
    <w:rsid w:val="7D22570B"/>
    <w:rsid w:val="7D574D43"/>
    <w:rsid w:val="7D5C73B9"/>
    <w:rsid w:val="7D7D2D63"/>
    <w:rsid w:val="7D8913A8"/>
    <w:rsid w:val="7E062A65"/>
    <w:rsid w:val="7E5232B1"/>
    <w:rsid w:val="7F136E69"/>
    <w:rsid w:val="7F29508E"/>
    <w:rsid w:val="7F2E1CF7"/>
    <w:rsid w:val="7F68504D"/>
    <w:rsid w:val="7F786E01"/>
    <w:rsid w:val="7FCA77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宋体" w:cs="宋体"/>
      <w:snapToGrid w:val="0"/>
      <w:sz w:val="21"/>
      <w:szCs w:val="32"/>
      <w:lang w:val="en-US" w:eastAsia="zh-CN" w:bidi="ar-SA"/>
    </w:rPr>
  </w:style>
  <w:style w:type="paragraph" w:styleId="3">
    <w:name w:val="heading 1"/>
    <w:basedOn w:val="1"/>
    <w:next w:val="1"/>
    <w:link w:val="47"/>
    <w:qFormat/>
    <w:uiPriority w:val="0"/>
    <w:pPr>
      <w:keepNext/>
      <w:keepLines/>
      <w:spacing w:line="578" w:lineRule="auto"/>
      <w:outlineLvl w:val="0"/>
    </w:pPr>
    <w:rPr>
      <w:rFonts w:ascii="Times New Roman" w:hAnsi="Times New Roman" w:cs="Times New Roman"/>
      <w:b/>
      <w:bCs/>
      <w:snapToGrid/>
      <w:kern w:val="44"/>
      <w:sz w:val="44"/>
      <w:szCs w:val="44"/>
    </w:rPr>
  </w:style>
  <w:style w:type="paragraph" w:styleId="2">
    <w:name w:val="heading 2"/>
    <w:basedOn w:val="1"/>
    <w:next w:val="1"/>
    <w:link w:val="48"/>
    <w:qFormat/>
    <w:uiPriority w:val="0"/>
    <w:pPr>
      <w:keepNext/>
      <w:keepLines/>
      <w:spacing w:line="416" w:lineRule="auto"/>
      <w:outlineLvl w:val="1"/>
    </w:pPr>
    <w:rPr>
      <w:rFonts w:ascii="Arial" w:hAnsi="Arial" w:eastAsia="仿宋_GB2312" w:cs="Times New Roman"/>
      <w:b/>
      <w:bCs/>
      <w:snapToGrid/>
      <w:sz w:val="32"/>
    </w:rPr>
  </w:style>
  <w:style w:type="paragraph" w:styleId="4">
    <w:name w:val="heading 3"/>
    <w:basedOn w:val="1"/>
    <w:next w:val="1"/>
    <w:qFormat/>
    <w:uiPriority w:val="0"/>
    <w:pPr>
      <w:keepNext/>
      <w:keepLines/>
      <w:spacing w:line="416" w:lineRule="auto"/>
      <w:outlineLvl w:val="2"/>
    </w:pPr>
    <w:rPr>
      <w:b/>
      <w:bCs/>
      <w:sz w:val="32"/>
    </w:rPr>
  </w:style>
  <w:style w:type="paragraph" w:styleId="5">
    <w:name w:val="heading 4"/>
    <w:basedOn w:val="1"/>
    <w:next w:val="1"/>
    <w:qFormat/>
    <w:uiPriority w:val="0"/>
    <w:pPr>
      <w:keepNext/>
      <w:keepLines/>
      <w:spacing w:line="376" w:lineRule="auto"/>
      <w:outlineLvl w:val="3"/>
    </w:pPr>
    <w:rPr>
      <w:rFonts w:ascii="Arial" w:hAnsi="Arial" w:eastAsia="黑体"/>
      <w:b/>
      <w:bCs/>
      <w:sz w:val="28"/>
      <w:szCs w:val="28"/>
    </w:rPr>
  </w:style>
  <w:style w:type="character" w:default="1" w:styleId="44">
    <w:name w:val="Default Paragraph Font"/>
    <w:semiHidden/>
    <w:unhideWhenUsed/>
    <w:qFormat/>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styleId="6">
    <w:name w:val="toc 7"/>
    <w:basedOn w:val="1"/>
    <w:next w:val="1"/>
    <w:qFormat/>
    <w:uiPriority w:val="0"/>
    <w:pPr>
      <w:ind w:left="2520" w:leftChars="1200"/>
    </w:pPr>
  </w:style>
  <w:style w:type="paragraph" w:styleId="7">
    <w:name w:val="index 8"/>
    <w:basedOn w:val="1"/>
    <w:next w:val="1"/>
    <w:qFormat/>
    <w:uiPriority w:val="0"/>
    <w:pPr>
      <w:ind w:left="1400" w:leftChars="1400"/>
    </w:pPr>
  </w:style>
  <w:style w:type="paragraph" w:styleId="8">
    <w:name w:val="Normal Indent"/>
    <w:basedOn w:val="1"/>
    <w:qFormat/>
    <w:uiPriority w:val="0"/>
    <w:pPr>
      <w:ind w:firstLine="420"/>
    </w:pPr>
    <w:rPr>
      <w:szCs w:val="20"/>
    </w:rPr>
  </w:style>
  <w:style w:type="paragraph" w:styleId="9">
    <w:name w:val="index 5"/>
    <w:basedOn w:val="1"/>
    <w:next w:val="1"/>
    <w:qFormat/>
    <w:uiPriority w:val="0"/>
    <w:pPr>
      <w:ind w:left="800" w:leftChars="800"/>
    </w:pPr>
  </w:style>
  <w:style w:type="paragraph" w:styleId="10">
    <w:name w:val="Document Map"/>
    <w:basedOn w:val="1"/>
    <w:qFormat/>
    <w:uiPriority w:val="0"/>
    <w:pPr>
      <w:shd w:val="clear" w:color="auto" w:fill="000080"/>
    </w:pPr>
  </w:style>
  <w:style w:type="paragraph" w:styleId="11">
    <w:name w:val="annotation text"/>
    <w:basedOn w:val="1"/>
    <w:unhideWhenUsed/>
    <w:qFormat/>
    <w:uiPriority w:val="99"/>
    <w:pPr>
      <w:jc w:val="left"/>
    </w:pPr>
  </w:style>
  <w:style w:type="paragraph" w:styleId="12">
    <w:name w:val="index 6"/>
    <w:basedOn w:val="1"/>
    <w:next w:val="1"/>
    <w:qFormat/>
    <w:uiPriority w:val="0"/>
    <w:pPr>
      <w:ind w:left="1000" w:leftChars="1000"/>
    </w:pPr>
  </w:style>
  <w:style w:type="paragraph" w:styleId="13">
    <w:name w:val="Body Text 3"/>
    <w:basedOn w:val="1"/>
    <w:qFormat/>
    <w:uiPriority w:val="0"/>
    <w:pPr>
      <w:spacing w:line="560" w:lineRule="exact"/>
    </w:pPr>
    <w:rPr>
      <w:rFonts w:eastAsia="仿宋_GB2312"/>
      <w:sz w:val="26"/>
    </w:rPr>
  </w:style>
  <w:style w:type="paragraph" w:styleId="14">
    <w:name w:val="Body Text"/>
    <w:basedOn w:val="1"/>
    <w:qFormat/>
    <w:uiPriority w:val="0"/>
    <w:rPr>
      <w:rFonts w:eastAsia="仿宋_GB2312"/>
      <w:sz w:val="28"/>
    </w:rPr>
  </w:style>
  <w:style w:type="paragraph" w:styleId="15">
    <w:name w:val="Body Text Indent"/>
    <w:basedOn w:val="1"/>
    <w:qFormat/>
    <w:uiPriority w:val="0"/>
    <w:pPr>
      <w:spacing w:line="440" w:lineRule="exact"/>
      <w:ind w:firstLine="488" w:firstLineChars="200"/>
    </w:pPr>
    <w:rPr>
      <w:rFonts w:eastAsia="仿宋_GB2312"/>
      <w:spacing w:val="7"/>
      <w:sz w:val="23"/>
    </w:rPr>
  </w:style>
  <w:style w:type="paragraph" w:styleId="16">
    <w:name w:val="Block Text"/>
    <w:basedOn w:val="1"/>
    <w:qFormat/>
    <w:uiPriority w:val="0"/>
    <w:pPr>
      <w:adjustRightInd w:val="0"/>
      <w:ind w:left="420" w:right="33"/>
      <w:jc w:val="left"/>
      <w:textAlignment w:val="baseline"/>
    </w:pPr>
    <w:rPr>
      <w:sz w:val="24"/>
      <w:szCs w:val="20"/>
    </w:rPr>
  </w:style>
  <w:style w:type="paragraph" w:styleId="17">
    <w:name w:val="index 4"/>
    <w:basedOn w:val="1"/>
    <w:next w:val="1"/>
    <w:qFormat/>
    <w:uiPriority w:val="0"/>
    <w:pPr>
      <w:ind w:left="600" w:leftChars="600"/>
    </w:pPr>
  </w:style>
  <w:style w:type="paragraph" w:styleId="18">
    <w:name w:val="toc 5"/>
    <w:basedOn w:val="1"/>
    <w:next w:val="1"/>
    <w:qFormat/>
    <w:uiPriority w:val="0"/>
    <w:pPr>
      <w:spacing w:line="360" w:lineRule="auto"/>
      <w:ind w:left="1680" w:leftChars="800" w:firstLine="700" w:firstLineChars="250"/>
    </w:pPr>
    <w:rPr>
      <w:rFonts w:ascii="Times New Roman" w:hAnsi="Times New Roman"/>
      <w:sz w:val="24"/>
    </w:rPr>
  </w:style>
  <w:style w:type="paragraph" w:styleId="19">
    <w:name w:val="toc 3"/>
    <w:basedOn w:val="1"/>
    <w:next w:val="1"/>
    <w:qFormat/>
    <w:uiPriority w:val="0"/>
    <w:pPr>
      <w:spacing w:line="360" w:lineRule="auto"/>
      <w:ind w:left="840" w:leftChars="400" w:firstLine="560" w:firstLineChars="200"/>
    </w:pPr>
    <w:rPr>
      <w:rFonts w:ascii="Times New Roman" w:hAnsi="Times New Roman"/>
      <w:sz w:val="24"/>
    </w:rPr>
  </w:style>
  <w:style w:type="paragraph" w:styleId="20">
    <w:name w:val="Plain Text"/>
    <w:basedOn w:val="1"/>
    <w:qFormat/>
    <w:uiPriority w:val="0"/>
    <w:rPr>
      <w:rFonts w:ascii="宋体" w:hAnsi="Courier New" w:cs="Courier New"/>
      <w:szCs w:val="21"/>
    </w:rPr>
  </w:style>
  <w:style w:type="paragraph" w:styleId="21">
    <w:name w:val="toc 8"/>
    <w:basedOn w:val="1"/>
    <w:next w:val="1"/>
    <w:qFormat/>
    <w:uiPriority w:val="0"/>
    <w:pPr>
      <w:ind w:left="2940" w:leftChars="1400"/>
    </w:pPr>
  </w:style>
  <w:style w:type="paragraph" w:styleId="22">
    <w:name w:val="index 3"/>
    <w:basedOn w:val="1"/>
    <w:next w:val="1"/>
    <w:qFormat/>
    <w:uiPriority w:val="0"/>
    <w:pPr>
      <w:ind w:left="400" w:leftChars="400"/>
    </w:pPr>
  </w:style>
  <w:style w:type="paragraph" w:styleId="23">
    <w:name w:val="Date"/>
    <w:basedOn w:val="1"/>
    <w:next w:val="1"/>
    <w:qFormat/>
    <w:uiPriority w:val="0"/>
    <w:rPr>
      <w:rFonts w:eastAsia="黑体"/>
      <w:sz w:val="28"/>
      <w:szCs w:val="20"/>
    </w:rPr>
  </w:style>
  <w:style w:type="paragraph" w:styleId="24">
    <w:name w:val="Body Text Indent 2"/>
    <w:basedOn w:val="1"/>
    <w:qFormat/>
    <w:uiPriority w:val="0"/>
    <w:pPr>
      <w:spacing w:line="440" w:lineRule="exact"/>
      <w:ind w:firstLine="555"/>
    </w:pPr>
    <w:rPr>
      <w:rFonts w:eastAsia="仿宋_GB2312"/>
      <w:spacing w:val="5"/>
      <w:sz w:val="23"/>
    </w:rPr>
  </w:style>
  <w:style w:type="paragraph" w:styleId="25">
    <w:name w:val="Balloon Text"/>
    <w:basedOn w:val="1"/>
    <w:qFormat/>
    <w:uiPriority w:val="0"/>
    <w:rPr>
      <w:sz w:val="18"/>
      <w:szCs w:val="18"/>
    </w:rPr>
  </w:style>
  <w:style w:type="paragraph" w:styleId="26">
    <w:name w:val="footer"/>
    <w:basedOn w:val="1"/>
    <w:qFormat/>
    <w:uiPriority w:val="0"/>
    <w:pPr>
      <w:tabs>
        <w:tab w:val="center" w:pos="4153"/>
        <w:tab w:val="right" w:pos="8306"/>
      </w:tabs>
      <w:snapToGrid w:val="0"/>
      <w:jc w:val="left"/>
    </w:pPr>
    <w:rPr>
      <w:sz w:val="18"/>
      <w:szCs w:val="18"/>
    </w:rPr>
  </w:style>
  <w:style w:type="paragraph" w:styleId="2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spacing w:line="360" w:lineRule="auto"/>
    </w:pPr>
    <w:rPr>
      <w:rFonts w:ascii="Times New Roman" w:hAnsi="Times New Roman"/>
      <w:sz w:val="24"/>
    </w:rPr>
  </w:style>
  <w:style w:type="paragraph" w:styleId="29">
    <w:name w:val="toc 4"/>
    <w:basedOn w:val="1"/>
    <w:next w:val="1"/>
    <w:qFormat/>
    <w:uiPriority w:val="0"/>
    <w:pPr>
      <w:spacing w:line="360" w:lineRule="auto"/>
      <w:ind w:left="1260" w:leftChars="600" w:firstLine="560" w:firstLineChars="200"/>
    </w:pPr>
    <w:rPr>
      <w:rFonts w:ascii="Times New Roman" w:hAnsi="Times New Roman"/>
      <w:sz w:val="24"/>
    </w:rPr>
  </w:style>
  <w:style w:type="paragraph" w:styleId="30">
    <w:name w:val="index heading"/>
    <w:basedOn w:val="1"/>
    <w:next w:val="31"/>
    <w:qFormat/>
    <w:uiPriority w:val="0"/>
  </w:style>
  <w:style w:type="paragraph" w:styleId="31">
    <w:name w:val="index 1"/>
    <w:basedOn w:val="1"/>
    <w:next w:val="1"/>
    <w:qFormat/>
    <w:uiPriority w:val="0"/>
    <w:rPr>
      <w:rFonts w:eastAsia="仿宋_GB2312"/>
      <w:sz w:val="24"/>
    </w:rPr>
  </w:style>
  <w:style w:type="paragraph" w:styleId="32">
    <w:name w:val="toc 6"/>
    <w:basedOn w:val="1"/>
    <w:next w:val="1"/>
    <w:qFormat/>
    <w:uiPriority w:val="0"/>
    <w:pPr>
      <w:spacing w:line="360" w:lineRule="auto"/>
      <w:ind w:left="2100" w:leftChars="1000" w:firstLine="840" w:firstLineChars="300"/>
    </w:pPr>
    <w:rPr>
      <w:rFonts w:ascii="Times New Roman" w:hAnsi="Times New Roman"/>
      <w:sz w:val="24"/>
    </w:rPr>
  </w:style>
  <w:style w:type="paragraph" w:styleId="33">
    <w:name w:val="Body Text Indent 3"/>
    <w:basedOn w:val="1"/>
    <w:qFormat/>
    <w:uiPriority w:val="0"/>
    <w:pPr>
      <w:spacing w:line="460" w:lineRule="atLeast"/>
      <w:ind w:firstLine="570"/>
    </w:pPr>
    <w:rPr>
      <w:rFonts w:eastAsia="仿宋_GB2312"/>
      <w:bCs/>
      <w:spacing w:val="24"/>
      <w:sz w:val="23"/>
    </w:rPr>
  </w:style>
  <w:style w:type="paragraph" w:styleId="34">
    <w:name w:val="index 7"/>
    <w:basedOn w:val="1"/>
    <w:next w:val="1"/>
    <w:qFormat/>
    <w:uiPriority w:val="0"/>
    <w:pPr>
      <w:ind w:left="1200" w:leftChars="1200"/>
    </w:pPr>
  </w:style>
  <w:style w:type="paragraph" w:styleId="35">
    <w:name w:val="index 9"/>
    <w:basedOn w:val="1"/>
    <w:next w:val="1"/>
    <w:qFormat/>
    <w:uiPriority w:val="0"/>
    <w:pPr>
      <w:ind w:left="1600" w:leftChars="1600"/>
    </w:pPr>
  </w:style>
  <w:style w:type="paragraph" w:styleId="36">
    <w:name w:val="toc 2"/>
    <w:basedOn w:val="1"/>
    <w:next w:val="1"/>
    <w:qFormat/>
    <w:uiPriority w:val="39"/>
    <w:pPr>
      <w:spacing w:line="360" w:lineRule="auto"/>
      <w:ind w:left="420" w:leftChars="200" w:firstLine="280" w:firstLineChars="100"/>
    </w:pPr>
    <w:rPr>
      <w:rFonts w:ascii="Times New Roman" w:hAnsi="Times New Roman"/>
      <w:sz w:val="24"/>
    </w:rPr>
  </w:style>
  <w:style w:type="paragraph" w:styleId="37">
    <w:name w:val="toc 9"/>
    <w:basedOn w:val="1"/>
    <w:next w:val="1"/>
    <w:qFormat/>
    <w:uiPriority w:val="0"/>
    <w:pPr>
      <w:ind w:left="3360" w:leftChars="1600"/>
    </w:pPr>
  </w:style>
  <w:style w:type="paragraph" w:styleId="38">
    <w:name w:val="Body Text 2"/>
    <w:basedOn w:val="1"/>
    <w:qFormat/>
    <w:uiPriority w:val="0"/>
    <w:rPr>
      <w:sz w:val="44"/>
    </w:rPr>
  </w:style>
  <w:style w:type="paragraph" w:styleId="39">
    <w:name w:val="index 2"/>
    <w:basedOn w:val="1"/>
    <w:next w:val="1"/>
    <w:qFormat/>
    <w:uiPriority w:val="0"/>
    <w:pPr>
      <w:ind w:left="200" w:leftChars="200"/>
    </w:pPr>
  </w:style>
  <w:style w:type="paragraph" w:styleId="40">
    <w:name w:val="Title"/>
    <w:basedOn w:val="1"/>
    <w:link w:val="49"/>
    <w:qFormat/>
    <w:uiPriority w:val="0"/>
    <w:pPr>
      <w:jc w:val="center"/>
      <w:outlineLvl w:val="0"/>
    </w:pPr>
    <w:rPr>
      <w:rFonts w:ascii="Arial" w:hAnsi="Arial" w:cs="Times New Roman"/>
      <w:b/>
      <w:bCs/>
      <w:snapToGrid/>
      <w:kern w:val="2"/>
      <w:sz w:val="32"/>
    </w:rPr>
  </w:style>
  <w:style w:type="paragraph" w:styleId="41">
    <w:name w:val="Body Text First Indent"/>
    <w:basedOn w:val="14"/>
    <w:qFormat/>
    <w:uiPriority w:val="0"/>
    <w:pPr>
      <w:ind w:firstLine="420" w:firstLineChars="100"/>
    </w:pPr>
    <w:rPr>
      <w:rFonts w:ascii="Times New Roman" w:eastAsia="宋体"/>
      <w:sz w:val="21"/>
    </w:rPr>
  </w:style>
  <w:style w:type="table" w:styleId="43">
    <w:name w:val="Table Grid"/>
    <w:basedOn w:val="4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page number"/>
    <w:qFormat/>
    <w:uiPriority w:val="0"/>
  </w:style>
  <w:style w:type="character" w:styleId="46">
    <w:name w:val="Hyperlink"/>
    <w:qFormat/>
    <w:uiPriority w:val="99"/>
    <w:rPr>
      <w:color w:val="0000FF"/>
      <w:u w:val="single"/>
    </w:rPr>
  </w:style>
  <w:style w:type="character" w:customStyle="1" w:styleId="47">
    <w:name w:val="标题 1 Char"/>
    <w:link w:val="3"/>
    <w:qFormat/>
    <w:uiPriority w:val="0"/>
    <w:rPr>
      <w:b/>
      <w:bCs/>
      <w:kern w:val="44"/>
      <w:sz w:val="44"/>
      <w:szCs w:val="44"/>
    </w:rPr>
  </w:style>
  <w:style w:type="character" w:customStyle="1" w:styleId="48">
    <w:name w:val="标题 2 Char"/>
    <w:link w:val="2"/>
    <w:qFormat/>
    <w:uiPriority w:val="0"/>
    <w:rPr>
      <w:rFonts w:ascii="Arial" w:hAnsi="Arial" w:eastAsia="仿宋_GB2312"/>
      <w:b/>
      <w:bCs/>
      <w:sz w:val="32"/>
      <w:szCs w:val="32"/>
    </w:rPr>
  </w:style>
  <w:style w:type="character" w:customStyle="1" w:styleId="49">
    <w:name w:val="标题 Char"/>
    <w:link w:val="40"/>
    <w:qFormat/>
    <w:uiPriority w:val="0"/>
    <w:rPr>
      <w:rFonts w:ascii="Arial" w:hAnsi="Arial" w:cs="Arial"/>
      <w:b/>
      <w:bCs/>
      <w:kern w:val="2"/>
      <w:sz w:val="32"/>
      <w:szCs w:val="32"/>
    </w:rPr>
  </w:style>
  <w:style w:type="character" w:customStyle="1" w:styleId="50">
    <w:name w:val="页码 New"/>
    <w:qFormat/>
    <w:uiPriority w:val="0"/>
  </w:style>
  <w:style w:type="character" w:customStyle="1" w:styleId="51">
    <w:name w:val="ggbt1"/>
    <w:qFormat/>
    <w:uiPriority w:val="0"/>
    <w:rPr>
      <w:b/>
      <w:bCs/>
      <w:sz w:val="28"/>
      <w:szCs w:val="28"/>
    </w:rPr>
  </w:style>
  <w:style w:type="paragraph" w:customStyle="1" w:styleId="52">
    <w:name w:val="Char"/>
    <w:basedOn w:val="1"/>
    <w:qFormat/>
    <w:uiPriority w:val="0"/>
    <w:rPr>
      <w:rFonts w:ascii="Tahoma" w:hAnsi="Tahoma"/>
      <w:sz w:val="24"/>
      <w:szCs w:val="20"/>
    </w:rPr>
  </w:style>
  <w:style w:type="paragraph" w:customStyle="1" w:styleId="53">
    <w:name w:val="Char Char Char Char"/>
    <w:basedOn w:val="10"/>
    <w:qFormat/>
    <w:uiPriority w:val="0"/>
    <w:rPr>
      <w:rFonts w:ascii="Tahoma" w:hAnsi="Tahoma"/>
      <w:sz w:val="24"/>
    </w:rPr>
  </w:style>
  <w:style w:type="paragraph" w:customStyle="1" w:styleId="54">
    <w:name w:val="xl24"/>
    <w:basedOn w:val="1"/>
    <w:qFormat/>
    <w:uiPriority w:val="0"/>
    <w:pPr>
      <w:widowControl/>
      <w:jc w:val="center"/>
      <w:textAlignment w:val="center"/>
    </w:pPr>
    <w:rPr>
      <w:rFonts w:ascii="宋体" w:hAnsi="宋体"/>
      <w:sz w:val="24"/>
    </w:rPr>
  </w:style>
  <w:style w:type="paragraph" w:customStyle="1" w:styleId="55">
    <w:name w:val="正文 New New New"/>
    <w:qFormat/>
    <w:uiPriority w:val="0"/>
    <w:pPr>
      <w:widowControl w:val="0"/>
      <w:jc w:val="both"/>
    </w:pPr>
    <w:rPr>
      <w:rFonts w:ascii="仿宋_GB2312" w:hAnsi="仿宋_GB2312" w:eastAsia="宋体" w:cs="宋体"/>
      <w:snapToGrid w:val="0"/>
      <w:sz w:val="21"/>
      <w:szCs w:val="32"/>
      <w:lang w:val="en-US" w:eastAsia="zh-CN" w:bidi="ar-SA"/>
    </w:rPr>
  </w:style>
  <w:style w:type="paragraph" w:customStyle="1" w:styleId="56">
    <w:name w:val="Table Paragraph"/>
    <w:basedOn w:val="1"/>
    <w:unhideWhenUsed/>
    <w:qFormat/>
    <w:uiPriority w:val="1"/>
    <w:pPr>
      <w:autoSpaceDE w:val="0"/>
      <w:autoSpaceDN w:val="0"/>
      <w:jc w:val="left"/>
    </w:pPr>
    <w:rPr>
      <w:sz w:val="20"/>
      <w:szCs w:val="20"/>
    </w:rPr>
  </w:style>
  <w:style w:type="paragraph" w:customStyle="1" w:styleId="57">
    <w:name w:val="Char1"/>
    <w:basedOn w:val="1"/>
    <w:qFormat/>
    <w:uiPriority w:val="0"/>
    <w:pPr>
      <w:adjustRightInd w:val="0"/>
      <w:snapToGrid w:val="0"/>
      <w:spacing w:line="360" w:lineRule="auto"/>
      <w:ind w:firstLine="200" w:firstLineChars="200"/>
      <w:jc w:val="center"/>
    </w:pPr>
    <w:rPr>
      <w:rFonts w:eastAsia="华文中宋"/>
      <w:sz w:val="24"/>
      <w:lang w:eastAsia="en-US"/>
    </w:rPr>
  </w:style>
  <w:style w:type="paragraph" w:customStyle="1" w:styleId="58">
    <w:name w:val="Blockquote"/>
    <w:basedOn w:val="1"/>
    <w:qFormat/>
    <w:uiPriority w:val="0"/>
    <w:pPr>
      <w:autoSpaceDE w:val="0"/>
      <w:autoSpaceDN w:val="0"/>
      <w:adjustRightInd w:val="0"/>
      <w:ind w:left="360" w:right="360"/>
      <w:jc w:val="left"/>
    </w:pPr>
    <w:rPr>
      <w:sz w:val="24"/>
      <w:szCs w:val="20"/>
    </w:rPr>
  </w:style>
  <w:style w:type="paragraph" w:customStyle="1" w:styleId="5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样式 宋体 行距: 1.5 倍行距"/>
    <w:basedOn w:val="1"/>
    <w:qFormat/>
    <w:uiPriority w:val="0"/>
    <w:pPr>
      <w:jc w:val="center"/>
    </w:pPr>
    <w:rPr>
      <w:rFonts w:ascii="Times New Roman" w:hAnsi="Times New Roman"/>
      <w:b/>
    </w:rPr>
  </w:style>
  <w:style w:type="paragraph" w:customStyle="1" w:styleId="61">
    <w:name w:val="页眉 New"/>
    <w:basedOn w:val="62"/>
    <w:qFormat/>
    <w:uiPriority w:val="0"/>
    <w:rPr>
      <w:rFonts w:ascii="Times New Roman" w:hAnsi="Times New Roman" w:cs="Times New Roman"/>
      <w:snapToGrid/>
      <w:kern w:val="2"/>
      <w:sz w:val="30"/>
      <w:szCs w:val="24"/>
    </w:rPr>
  </w:style>
  <w:style w:type="paragraph" w:customStyle="1" w:styleId="62">
    <w:name w:val="正文 New New"/>
    <w:qFormat/>
    <w:uiPriority w:val="0"/>
    <w:pPr>
      <w:widowControl w:val="0"/>
      <w:jc w:val="both"/>
    </w:pPr>
    <w:rPr>
      <w:rFonts w:ascii="仿宋_GB2312" w:hAnsi="仿宋_GB2312" w:eastAsia="宋体" w:cs="宋体"/>
      <w:snapToGrid w:val="0"/>
      <w:sz w:val="21"/>
      <w:szCs w:val="32"/>
      <w:lang w:val="en-US" w:eastAsia="zh-CN" w:bidi="ar-SA"/>
    </w:rPr>
  </w:style>
  <w:style w:type="paragraph" w:customStyle="1" w:styleId="63">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正文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Char Char1"/>
    <w:basedOn w:val="1"/>
    <w:qFormat/>
    <w:uiPriority w:val="0"/>
    <w:pPr>
      <w:widowControl/>
      <w:spacing w:line="240" w:lineRule="exact"/>
      <w:jc w:val="left"/>
    </w:pPr>
    <w:rPr>
      <w:rFonts w:ascii="Verdana" w:hAnsi="Verdana" w:eastAsia="楷体_GB2312"/>
      <w:b/>
      <w:i/>
      <w:iCs/>
      <w:color w:val="000000"/>
      <w:sz w:val="20"/>
      <w:szCs w:val="20"/>
      <w:lang w:eastAsia="en-US"/>
    </w:rPr>
  </w:style>
  <w:style w:type="paragraph" w:customStyle="1" w:styleId="66">
    <w:name w:val="Char Char Char1 Char"/>
    <w:basedOn w:val="10"/>
    <w:qFormat/>
    <w:uiPriority w:val="0"/>
    <w:rPr>
      <w:rFonts w:ascii="Tahoma" w:hAnsi="Tahoma"/>
      <w:sz w:val="24"/>
    </w:rPr>
  </w:style>
  <w:style w:type="paragraph" w:customStyle="1" w:styleId="67">
    <w:name w:val="正文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68">
    <w:name w:val="Char Char Char Char Char Char Char Char Char Char Char Char Char Char Char Char Char Char Char Char Char Char Char Char Char Char"/>
    <w:basedOn w:val="1"/>
    <w:qFormat/>
    <w:uiPriority w:val="0"/>
    <w:rPr>
      <w:rFonts w:ascii="Times New Roman" w:hAnsi="Times New Roman" w:cs="Times New Roman"/>
      <w:snapToGrid/>
      <w:kern w:val="2"/>
      <w:sz w:val="28"/>
      <w:szCs w:val="20"/>
    </w:rPr>
  </w:style>
  <w:style w:type="paragraph" w:customStyle="1" w:styleId="69">
    <w:name w:val="p0"/>
    <w:basedOn w:val="1"/>
    <w:qFormat/>
    <w:uiPriority w:val="0"/>
    <w:pPr>
      <w:widowControl/>
    </w:pPr>
    <w:rPr>
      <w:szCs w:val="21"/>
    </w:rPr>
  </w:style>
  <w:style w:type="paragraph" w:customStyle="1" w:styleId="70">
    <w:name w:val="页脚 New"/>
    <w:basedOn w:val="62"/>
    <w:qFormat/>
    <w:uiPriority w:val="0"/>
    <w:pPr>
      <w:tabs>
        <w:tab w:val="center" w:pos="4153"/>
        <w:tab w:val="right" w:pos="8306"/>
      </w:tabs>
      <w:snapToGrid w:val="0"/>
      <w:jc w:val="left"/>
    </w:pPr>
    <w:rPr>
      <w:sz w:val="18"/>
      <w:szCs w:val="18"/>
    </w:rPr>
  </w:style>
  <w:style w:type="paragraph" w:customStyle="1" w:styleId="71">
    <w:name w:val="正文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2">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73">
    <w:name w:val="font0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2805</Words>
  <Characters>15992</Characters>
  <Lines>133</Lines>
  <Paragraphs>37</Paragraphs>
  <TotalTime>4</TotalTime>
  <ScaleCrop>false</ScaleCrop>
  <LinksUpToDate>false</LinksUpToDate>
  <CharactersWithSpaces>18760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2023-02-24T02:31:00Z</dcterms:created>
  <dc:creator>tangfuquan</dc:creator>
  <cp:lastModifiedBy>欧阳杰</cp:lastModifiedBy>
  <cp:lastPrinted>2022-05-20T03:11:00Z</cp:lastPrinted>
  <dcterms:modified xsi:type="dcterms:W3CDTF">2023-04-06T03:13:07Z</dcterms:modified>
  <dc:title>市政工程监理招标</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3E5597BE0C98483382BDA4BE046EC327</vt:lpwstr>
  </property>
</Properties>
</file>